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9DDD4">
      <w:pPr>
        <w:adjustRightInd w:val="0"/>
        <w:snapToGrid w:val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抚顺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新钢铁有限责任公司</w:t>
      </w:r>
      <w:r>
        <w:rPr>
          <w:rFonts w:hint="eastAsia" w:ascii="宋体" w:hAnsi="宋体" w:eastAsia="宋体"/>
          <w:b/>
          <w:sz w:val="44"/>
          <w:szCs w:val="44"/>
        </w:rPr>
        <w:t>“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</w:rPr>
        <w:t>·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26</w:t>
      </w:r>
      <w:r>
        <w:rPr>
          <w:rFonts w:hint="eastAsia" w:ascii="宋体" w:hAnsi="宋体" w:eastAsia="宋体"/>
          <w:b/>
          <w:sz w:val="44"/>
          <w:szCs w:val="44"/>
        </w:rPr>
        <w:t>”</w:t>
      </w:r>
    </w:p>
    <w:p w14:paraId="5E69F3A8">
      <w:pPr>
        <w:adjustRightInd w:val="0"/>
        <w:snapToGrid w:val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一般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触电</w:t>
      </w:r>
      <w:r>
        <w:rPr>
          <w:rFonts w:hint="eastAsia" w:ascii="宋体" w:hAnsi="宋体" w:eastAsia="宋体"/>
          <w:b/>
          <w:sz w:val="44"/>
          <w:szCs w:val="44"/>
        </w:rPr>
        <w:t>事故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评估报告</w:t>
      </w:r>
    </w:p>
    <w:p w14:paraId="7CC1ADA9">
      <w:pPr>
        <w:pStyle w:val="5"/>
        <w:rPr>
          <w:rFonts w:ascii="宋体" w:hAnsi="宋体" w:eastAsia="宋体" w:cs="宋体"/>
          <w:b/>
          <w:bCs/>
          <w:sz w:val="44"/>
          <w:szCs w:val="44"/>
        </w:rPr>
      </w:pPr>
    </w:p>
    <w:p w14:paraId="7638812B">
      <w:pPr>
        <w:spacing w:line="360" w:lineRule="auto"/>
        <w:ind w:left="59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《生产安全事故整改和防范措施落实情况评估</w:t>
      </w:r>
      <w:r>
        <w:rPr>
          <w:rFonts w:hint="eastAsia" w:ascii="仿宋" w:hAnsi="仿宋" w:eastAsia="仿宋"/>
          <w:sz w:val="32"/>
          <w:szCs w:val="32"/>
        </w:rPr>
        <w:t>办法》，抚顺市政府组成了</w:t>
      </w:r>
      <w:r>
        <w:rPr>
          <w:rFonts w:hint="eastAsia" w:ascii="仿宋" w:hAnsi="仿宋" w:eastAsia="仿宋" w:cs="仿宋"/>
          <w:kern w:val="1"/>
          <w:sz w:val="32"/>
          <w:szCs w:val="32"/>
        </w:rPr>
        <w:t>由市应急局牵头，市公安局、市总工会有关同志参加的</w:t>
      </w:r>
      <w:r>
        <w:rPr>
          <w:rFonts w:hint="eastAsia" w:ascii="仿宋" w:hAnsi="仿宋" w:eastAsia="仿宋" w:cs="仿宋"/>
          <w:sz w:val="32"/>
          <w:szCs w:val="32"/>
        </w:rPr>
        <w:t>抚顺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新钢铁有限责任公司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·2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”一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触电</w:t>
      </w:r>
      <w:r>
        <w:rPr>
          <w:rFonts w:hint="eastAsia" w:ascii="仿宋" w:hAnsi="仿宋" w:eastAsia="仿宋" w:cs="仿宋"/>
          <w:sz w:val="32"/>
          <w:szCs w:val="32"/>
        </w:rPr>
        <w:t>事故</w:t>
      </w:r>
      <w:r>
        <w:rPr>
          <w:rFonts w:hint="eastAsia" w:ascii="仿宋" w:hAnsi="仿宋" w:eastAsia="仿宋" w:cs="仿宋"/>
          <w:kern w:val="1"/>
          <w:sz w:val="32"/>
          <w:szCs w:val="32"/>
        </w:rPr>
        <w:t>评估组（以下简称“评估组”），开展了评估</w:t>
      </w:r>
      <w:r>
        <w:rPr>
          <w:rFonts w:hint="eastAsia" w:ascii="仿宋" w:hAnsi="仿宋" w:eastAsia="仿宋"/>
          <w:sz w:val="32"/>
          <w:szCs w:val="32"/>
        </w:rPr>
        <w:t xml:space="preserve">工作。   </w:t>
      </w:r>
    </w:p>
    <w:p w14:paraId="3B95B82B">
      <w:pPr>
        <w:spacing w:line="360" w:lineRule="auto"/>
        <w:ind w:left="59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评估内容包括：</w:t>
      </w:r>
      <w:r>
        <w:rPr>
          <w:rFonts w:hint="eastAsia" w:ascii="仿宋" w:hAnsi="仿宋" w:eastAsia="仿宋" w:cs="Arial"/>
          <w:kern w:val="0"/>
          <w:sz w:val="32"/>
          <w:szCs w:val="32"/>
        </w:rPr>
        <w:t>（一）事故发生单位、相关企业和有关政府、部门落实事故整改和防范措施采取的具体举措以及工作成效；树牢安全发展理念，健全安全生产责任制，吸取事故教训，举一反三加强安全生产工作情况；（二）对事故责任单位和责任人员行政处罚建议等落实情况。评估工作已结束，</w:t>
      </w:r>
      <w:r>
        <w:rPr>
          <w:rFonts w:hint="eastAsia" w:ascii="仿宋" w:hAnsi="仿宋" w:eastAsia="仿宋"/>
          <w:sz w:val="32"/>
          <w:szCs w:val="32"/>
        </w:rPr>
        <w:t>现将评估情况报告如下：</w:t>
      </w:r>
    </w:p>
    <w:p w14:paraId="187E8CC1"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事故及事故结案批复情况</w:t>
      </w:r>
    </w:p>
    <w:p w14:paraId="57CACEE8">
      <w:pPr>
        <w:spacing w:line="360" w:lineRule="auto"/>
        <w:ind w:firstLine="643" w:firstLineChars="200"/>
        <w:jc w:val="left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（一）事故情况</w:t>
      </w:r>
    </w:p>
    <w:p w14:paraId="4BB51169">
      <w:pPr>
        <w:spacing w:line="360" w:lineRule="auto"/>
        <w:ind w:left="59" w:firstLine="64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月2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时40分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许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抚顺市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望花区沈抚</w:t>
      </w:r>
      <w:r>
        <w:rPr>
          <w:rFonts w:hint="eastAsia" w:ascii="仿宋" w:hAnsi="仿宋" w:eastAsia="仿宋"/>
          <w:color w:val="auto"/>
          <w:sz w:val="32"/>
          <w:szCs w:val="32"/>
        </w:rPr>
        <w:t>路18号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抚顺新钢铁有限责任公司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炼钢厂天车作业区发生一起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机电点检员（电工）检修作业触电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事故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，造成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1人死亡，直接经济损失约120万元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 w14:paraId="71F14C96">
      <w:pPr>
        <w:spacing w:line="360" w:lineRule="auto"/>
        <w:ind w:left="59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事故发生后，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市应急局人员及时赶赴事故现场处置。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依据相关法律法规，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市政府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成立了以</w:t>
      </w:r>
      <w:r>
        <w:rPr>
          <w:rFonts w:hint="eastAsia" w:ascii="仿宋" w:hAnsi="仿宋" w:eastAsia="仿宋" w:cs="仿宋"/>
          <w:kern w:val="1"/>
          <w:sz w:val="32"/>
          <w:szCs w:val="32"/>
        </w:rPr>
        <w:t>市应急局牵头，市公安局、市总工会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仿宋"/>
          <w:kern w:val="1"/>
          <w:sz w:val="32"/>
          <w:szCs w:val="32"/>
        </w:rPr>
        <w:t>的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抚顺新钢铁有限责任公司</w:t>
      </w:r>
      <w:r>
        <w:rPr>
          <w:rFonts w:hint="eastAsia" w:ascii="仿宋" w:hAnsi="仿宋" w:eastAsia="仿宋" w:cs="仿宋"/>
          <w:kern w:val="1"/>
          <w:sz w:val="32"/>
          <w:szCs w:val="32"/>
        </w:rPr>
        <w:t>“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5·26</w:t>
      </w:r>
      <w:r>
        <w:rPr>
          <w:rFonts w:hint="eastAsia" w:ascii="仿宋" w:hAnsi="仿宋" w:eastAsia="仿宋" w:cs="仿宋"/>
          <w:kern w:val="1"/>
          <w:sz w:val="32"/>
          <w:szCs w:val="32"/>
        </w:rPr>
        <w:t>”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一般触电</w:t>
      </w:r>
      <w:r>
        <w:rPr>
          <w:rFonts w:hint="eastAsia" w:ascii="仿宋" w:hAnsi="仿宋" w:eastAsia="仿宋" w:cs="仿宋"/>
          <w:kern w:val="1"/>
          <w:sz w:val="32"/>
          <w:szCs w:val="32"/>
        </w:rPr>
        <w:t>事故调查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组，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聘请了有关专家参与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事故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调查，</w:t>
      </w:r>
      <w:r>
        <w:rPr>
          <w:rFonts w:hint="eastAsia" w:ascii="仿宋" w:hAnsi="仿宋" w:eastAsia="仿宋"/>
          <w:sz w:val="32"/>
          <w:szCs w:val="32"/>
        </w:rPr>
        <w:t xml:space="preserve">形成了事故调查报告，并报市政府批复。   </w:t>
      </w:r>
    </w:p>
    <w:p w14:paraId="0EFA0AB1">
      <w:pPr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（二）结案批复情况</w:t>
      </w:r>
    </w:p>
    <w:p w14:paraId="27626C58"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" w:hAnsi="仿宋" w:eastAsia="仿宋"/>
          <w:sz w:val="32"/>
          <w:szCs w:val="32"/>
        </w:rPr>
        <w:t>市政府收到事故调查组提交的事故调查报告，于2023年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日依法对事故调查报告进行了批复，同意事故调查报告内容及处理建议。</w:t>
      </w:r>
    </w:p>
    <w:bookmarkEnd w:id="0"/>
    <w:bookmarkEnd w:id="1"/>
    <w:p w14:paraId="6DABD6AC">
      <w:pPr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二、事故评估情况</w:t>
      </w:r>
    </w:p>
    <w:p w14:paraId="1DBDBACE">
      <w:pPr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（一）</w:t>
      </w:r>
      <w:r>
        <w:rPr>
          <w:rFonts w:hint="eastAsia" w:ascii="楷体" w:hAnsi="楷体" w:eastAsia="楷体" w:cs="Arial"/>
          <w:b/>
          <w:bCs/>
          <w:kern w:val="0"/>
          <w:sz w:val="32"/>
          <w:szCs w:val="32"/>
        </w:rPr>
        <w:t>事故责任单位、责任人员处理建议落实情况</w:t>
      </w:r>
    </w:p>
    <w:p w14:paraId="6744562B"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市应急局依据《抚顺市人民政府关于对抚顺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新钢铁有限责任公司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·2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”一般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触电</w:t>
      </w:r>
      <w:r>
        <w:rPr>
          <w:rFonts w:hint="eastAsia" w:ascii="仿宋" w:hAnsi="仿宋" w:eastAsia="仿宋"/>
          <w:sz w:val="32"/>
          <w:szCs w:val="32"/>
        </w:rPr>
        <w:t>事故调查报告的批复</w:t>
      </w:r>
      <w:r>
        <w:rPr>
          <w:rFonts w:hint="eastAsia" w:ascii="仿宋" w:hAnsi="仿宋" w:eastAsia="仿宋"/>
          <w:kern w:val="0"/>
          <w:sz w:val="32"/>
          <w:szCs w:val="32"/>
        </w:rPr>
        <w:t>》（抚政</w:t>
      </w:r>
      <w:r>
        <w:rPr>
          <w:rFonts w:hint="eastAsia" w:ascii="仿宋" w:hAnsi="仿宋" w:eastAsia="仿宋"/>
          <w:sz w:val="32"/>
        </w:rPr>
        <w:t>〔2023〕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/>
          <w:kern w:val="0"/>
          <w:sz w:val="32"/>
          <w:szCs w:val="32"/>
        </w:rPr>
        <w:t>号），进行行政处罚立案，</w:t>
      </w:r>
      <w:bookmarkStart w:id="2" w:name="OLE_LINK4"/>
      <w:bookmarkStart w:id="3" w:name="OLE_LINK3"/>
      <w:r>
        <w:rPr>
          <w:rFonts w:hint="eastAsia" w:ascii="仿宋" w:hAnsi="仿宋" w:eastAsia="仿宋"/>
          <w:kern w:val="0"/>
          <w:sz w:val="32"/>
          <w:szCs w:val="32"/>
        </w:rPr>
        <w:t>对抚顺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新钢铁有限责任公司处45万元罚款，对抚顺新钢铁有限责任公司法定代表人、总经理杨宪礼按照上一年年收入百分之四十处12.32万元罚款，对其余6名事故责任人员均按照上一年收入百分之二十给予了罚款，上述罚款均已上缴市财政。</w:t>
      </w:r>
    </w:p>
    <w:p w14:paraId="1694B5B9">
      <w:pPr>
        <w:ind w:firstLine="64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对炼钢厂天车作业区天车点检组长单鹏，建议撤销其高压电工特种作业操作证，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上述处理建议已落实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bCs/>
          <w:kern w:val="1"/>
          <w:sz w:val="32"/>
          <w:szCs w:val="32"/>
          <w:highlight w:val="none"/>
          <w:lang w:val="en-US" w:eastAsia="zh-CN"/>
        </w:rPr>
        <w:t>炼钢厂副厂长（主持工作）魏志强、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生产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副总经理张本育，建议暂停其与安全生产有关资格3个月，上述</w:t>
      </w:r>
      <w:bookmarkStart w:id="5" w:name="_GoBack"/>
      <w:bookmarkEnd w:id="5"/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人员已调离岗位，新任职者要求重新考取安全资格证书。</w:t>
      </w:r>
    </w:p>
    <w:bookmarkEnd w:id="2"/>
    <w:bookmarkEnd w:id="3"/>
    <w:p w14:paraId="0E47FDEA">
      <w:pPr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（二）</w:t>
      </w:r>
      <w:r>
        <w:rPr>
          <w:rFonts w:hint="eastAsia" w:ascii="楷体" w:hAnsi="楷体" w:eastAsia="楷体"/>
          <w:b/>
          <w:bCs/>
          <w:sz w:val="32"/>
          <w:szCs w:val="32"/>
        </w:rPr>
        <w:t>事故整改和防范措施落实情况</w:t>
      </w:r>
    </w:p>
    <w:p w14:paraId="0C9AB71B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1.事故调查报告提出事故整改和防范措施</w:t>
      </w:r>
    </w:p>
    <w:p w14:paraId="701376DC">
      <w:pPr>
        <w:autoSpaceDE w:val="0"/>
        <w:autoSpaceDN w:val="0"/>
        <w:adjustRightInd w:val="0"/>
        <w:ind w:firstLine="640" w:firstLineChars="200"/>
        <w:rPr>
          <w:rFonts w:hint="eastAsia" w:ascii="仿宋" w:hAnsi="仿宋" w:eastAsia="仿宋" w:cs="仿宋"/>
          <w:bCs/>
          <w:kern w:val="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一是</w:t>
      </w:r>
      <w:r>
        <w:rPr>
          <w:rFonts w:hint="eastAsia" w:ascii="仿宋" w:hAnsi="仿宋" w:eastAsia="仿宋" w:cs="仿宋"/>
          <w:bCs/>
          <w:kern w:val="1"/>
          <w:sz w:val="32"/>
          <w:szCs w:val="32"/>
          <w:lang w:val="en-US" w:eastAsia="zh-CN"/>
        </w:rPr>
        <w:t>强化企业主体责任落实，确保全员安全生产责任制层层落实到位，进一步提升全员安全生产意识，杜绝“三违”行为。</w:t>
      </w:r>
    </w:p>
    <w:p w14:paraId="207A1EC2"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二是</w:t>
      </w:r>
      <w:r>
        <w:rPr>
          <w:rFonts w:hint="eastAsia" w:ascii="仿宋" w:hAnsi="仿宋" w:eastAsia="仿宋" w:cs="仿宋"/>
          <w:bCs/>
          <w:kern w:val="1"/>
          <w:sz w:val="32"/>
          <w:szCs w:val="32"/>
          <w:lang w:val="en-US" w:eastAsia="zh-CN"/>
        </w:rPr>
        <w:t>确保作业人员按照安全生产规章制度和操作规程等进行作业，确保作业人员按规定履行工作票手续，确保安全监护到位，确保作业前隐患排查治理和安全防护措施到位。</w:t>
      </w:r>
    </w:p>
    <w:p w14:paraId="0EE1D29E"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三是</w:t>
      </w:r>
      <w:r>
        <w:rPr>
          <w:rFonts w:hint="eastAsia" w:ascii="仿宋" w:hAnsi="仿宋" w:eastAsia="仿宋" w:cs="仿宋"/>
          <w:bCs/>
          <w:kern w:val="1"/>
          <w:sz w:val="32"/>
          <w:szCs w:val="32"/>
          <w:lang w:val="en-US" w:eastAsia="zh-CN"/>
        </w:rPr>
        <w:t>加强对非计划维修作业的安全管理，建立、完善非计划维修作业制度，明确相关程序要求，杜绝非计划维修作业随意，作业人员必须按照程序要求上报、审批，确保做好安全监护。</w:t>
      </w:r>
    </w:p>
    <w:p w14:paraId="454D98CF">
      <w:pPr>
        <w:autoSpaceDE w:val="0"/>
        <w:autoSpaceDN w:val="0"/>
        <w:adjustRightIn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四是</w:t>
      </w:r>
      <w:r>
        <w:rPr>
          <w:rFonts w:hint="eastAsia" w:ascii="仿宋" w:hAnsi="仿宋" w:eastAsia="仿宋" w:cs="仿宋"/>
          <w:bCs/>
          <w:kern w:val="1"/>
          <w:sz w:val="32"/>
          <w:szCs w:val="32"/>
          <w:lang w:val="en-US" w:eastAsia="zh-CN"/>
        </w:rPr>
        <w:t>对新项目、新厂房、新设备、新工艺加强安全管理，要根据变化对安全生产规章制度、操作规程、应急预案等进行重新修编，对作业人员重新进行有针对性的安全教育培训和安全技术交底，及时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消除生产安全事故隐患</w:t>
      </w:r>
      <w:r>
        <w:rPr>
          <w:rFonts w:hint="eastAsia" w:ascii="仿宋" w:hAnsi="仿宋" w:eastAsia="仿宋" w:cs="仿宋"/>
          <w:bCs/>
          <w:kern w:val="1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 w14:paraId="20BD1F5D">
      <w:pPr>
        <w:topLinePunct/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2.评估组评估落实情况</w:t>
      </w:r>
    </w:p>
    <w:p w14:paraId="5D7E91C0">
      <w:pPr>
        <w:topLinePunct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评估组根据事故调查报告提出的事故整改和防范措施要求，采取了听取汇报、调阅有关资料、查看现场等方式对抚顺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新钢铁有限责任公司</w:t>
      </w:r>
      <w:r>
        <w:rPr>
          <w:rFonts w:hint="eastAsia" w:ascii="仿宋" w:hAnsi="仿宋" w:eastAsia="仿宋"/>
          <w:sz w:val="32"/>
          <w:szCs w:val="32"/>
        </w:rPr>
        <w:t>事故整改和防范措施情况进行了确认：</w:t>
      </w:r>
    </w:p>
    <w:p w14:paraId="0D9104FF">
      <w:pPr>
        <w:topLinePunct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一是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公司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对炼钢厂厂长魏志强、作业长刘涛等11名责任人予以降职、免职、行政处分及经济处罚。通过“安全生产红线管控方案”落地推动实施，推动各级主管履职尽责，明确专业人员现场安全管控要求，严查及重点考核员工“三违”行为，有效地提升全员安全生产意识。</w:t>
      </w:r>
    </w:p>
    <w:p w14:paraId="3DABA5C4"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对《天车作业区电工岗位安全操作规程》修订条款2条，增加条款3条，在附件中增加高压停送电程序及天车作业区高压滑线送电操作规程，并组织天车点维修人员培训；对《高压滑线检修作业》安全工作程序进行了修订，录制“高压滑线检修”安全小视频，组织天车点维修人员对高压滑线检修的流程进行培训；修编完成《天车高压触电事故应急预案》，每次检修前对作业人员开展安全教育培训；对现场安全防护设施进行改进改善，开展高压设备安全培训；各级主管及职能部门专业人员开展高低压配电、环保钢结构筒仓、危险作业等安全生产专项检查工作。</w:t>
      </w:r>
    </w:p>
    <w:p w14:paraId="63376E02">
      <w:pPr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工程设备处重新制定并实施《设备检修管理办法》《设备点检管理办法》《安全用电管理办法》等管理制度，规范设备点检工作，完善专业管理体系，明确职责分工和设备检维修作业流程，规范人员点检、检修作业行为；天车作业区强化危险作业管理，高压作业执行工作票制度，停电后挂牌上锁。</w:t>
      </w:r>
    </w:p>
    <w:p w14:paraId="3B77EDA5">
      <w:pPr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四是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修订炼钢厂安全操作规程94项、现场处置方案52项、辨识危险源119个，组织开展全员安全意识培训及考试，共计653人次，全面提升员工对</w:t>
      </w:r>
      <w:r>
        <w:rPr>
          <w:rFonts w:hint="eastAsia" w:ascii="仿宋" w:hAnsi="仿宋" w:eastAsia="仿宋"/>
          <w:sz w:val="32"/>
          <w:szCs w:val="32"/>
          <w:lang w:eastAsia="zh-CN"/>
        </w:rPr>
        <w:t>新项目、新厂房、新设备、新工艺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的认识。</w:t>
      </w:r>
    </w:p>
    <w:p w14:paraId="300E07B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上述整改情况详见有关鉴证材料及安全生产专家评估报告。</w:t>
      </w:r>
    </w:p>
    <w:p w14:paraId="1F31AFC9">
      <w:pPr>
        <w:ind w:firstLine="640" w:firstLineChars="200"/>
        <w:rPr>
          <w:rFonts w:eastAsia="黑体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三、事故评估结论</w:t>
      </w:r>
    </w:p>
    <w:p w14:paraId="75C48E3B"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相关部门及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抚顺新钢铁有限责任公司</w:t>
      </w:r>
      <w:r>
        <w:rPr>
          <w:rFonts w:hint="eastAsia" w:ascii="仿宋" w:hAnsi="仿宋" w:eastAsia="仿宋"/>
          <w:sz w:val="32"/>
          <w:szCs w:val="32"/>
        </w:rPr>
        <w:t>按照事故调查报告要求对事故责任单位和责任人员进行了处理，按照事故整改和防范措施进行了整改。抚顺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新钢铁有限责任</w:t>
      </w:r>
      <w:r>
        <w:rPr>
          <w:rFonts w:hint="eastAsia" w:ascii="仿宋" w:hAnsi="仿宋" w:eastAsia="仿宋"/>
          <w:sz w:val="32"/>
          <w:szCs w:val="32"/>
        </w:rPr>
        <w:t>公司要</w:t>
      </w:r>
      <w:r>
        <w:rPr>
          <w:rFonts w:hint="eastAsia" w:ascii="仿宋" w:hAnsi="仿宋" w:eastAsia="仿宋"/>
          <w:sz w:val="32"/>
          <w:szCs w:val="32"/>
          <w:lang w:eastAsia="zh-CN"/>
        </w:rPr>
        <w:t>对新项目、新厂房、新设备、新工艺高度重视，要根据新旧变化对安全生产规章制度、操作规程、应急预案等重新修编、教育、培训，确保员工具备安全生产能力。</w:t>
      </w:r>
    </w:p>
    <w:p w14:paraId="693B8E2C">
      <w:pPr>
        <w:ind w:left="638" w:leftChars="304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抚顺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新钢铁</w:t>
      </w:r>
      <w:r>
        <w:rPr>
          <w:rFonts w:hint="eastAsia" w:ascii="仿宋" w:hAnsi="仿宋" w:eastAsia="仿宋" w:cs="仿宋"/>
          <w:sz w:val="32"/>
          <w:szCs w:val="32"/>
        </w:rPr>
        <w:t>有限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</w:t>
      </w:r>
      <w:r>
        <w:rPr>
          <w:rFonts w:hint="eastAsia" w:ascii="仿宋" w:hAnsi="仿宋" w:eastAsia="仿宋" w:cs="仿宋"/>
          <w:sz w:val="32"/>
          <w:szCs w:val="32"/>
        </w:rPr>
        <w:t>公司“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·2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”一般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触电</w:t>
      </w:r>
      <w:r>
        <w:rPr>
          <w:rFonts w:hint="eastAsia" w:ascii="仿宋" w:hAnsi="仿宋" w:eastAsia="仿宋" w:cs="仿宋"/>
          <w:sz w:val="32"/>
          <w:szCs w:val="32"/>
        </w:rPr>
        <w:t>事故</w:t>
      </w:r>
      <w:r>
        <w:rPr>
          <w:rFonts w:hint="eastAsia" w:ascii="仿宋" w:hAnsi="仿宋" w:eastAsia="仿宋" w:cs="仿宋"/>
          <w:kern w:val="1"/>
          <w:sz w:val="32"/>
          <w:szCs w:val="32"/>
        </w:rPr>
        <w:t>评估组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签字表</w:t>
      </w:r>
    </w:p>
    <w:p w14:paraId="471222C9">
      <w:pPr>
        <w:pStyle w:val="2"/>
        <w:ind w:firstLine="640"/>
        <w:rPr>
          <w:rFonts w:ascii="仿宋" w:hAnsi="仿宋" w:eastAsia="仿宋" w:cs="仿宋"/>
        </w:rPr>
      </w:pPr>
    </w:p>
    <w:p w14:paraId="18394E74">
      <w:pPr>
        <w:pStyle w:val="2"/>
        <w:ind w:firstLine="640"/>
        <w:rPr>
          <w:rFonts w:ascii="仿宋" w:hAnsi="仿宋" w:eastAsia="仿宋" w:cs="仿宋"/>
        </w:rPr>
      </w:pPr>
    </w:p>
    <w:p w14:paraId="4FC6D8C6">
      <w:pPr>
        <w:pStyle w:val="2"/>
        <w:ind w:firstLine="640"/>
        <w:rPr>
          <w:rFonts w:ascii="仿宋" w:hAnsi="仿宋" w:eastAsia="仿宋" w:cs="仿宋"/>
        </w:rPr>
      </w:pPr>
    </w:p>
    <w:p w14:paraId="689BA0E4">
      <w:pPr>
        <w:pStyle w:val="2"/>
        <w:ind w:firstLine="640"/>
        <w:rPr>
          <w:rFonts w:ascii="仿宋" w:hAnsi="仿宋" w:eastAsia="仿宋" w:cs="仿宋"/>
        </w:rPr>
      </w:pPr>
    </w:p>
    <w:p w14:paraId="13BE3B63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抚顺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新钢铁有限责任</w:t>
      </w:r>
      <w:r>
        <w:rPr>
          <w:rFonts w:hint="eastAsia" w:ascii="仿宋" w:hAnsi="仿宋" w:eastAsia="仿宋" w:cs="仿宋"/>
          <w:sz w:val="32"/>
          <w:szCs w:val="32"/>
        </w:rPr>
        <w:t>公司“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·2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 w14:paraId="1874D592">
      <w:pPr>
        <w:jc w:val="center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一般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触电</w:t>
      </w:r>
      <w:r>
        <w:rPr>
          <w:rFonts w:hint="eastAsia" w:ascii="仿宋" w:hAnsi="仿宋" w:eastAsia="仿宋" w:cs="仿宋"/>
          <w:sz w:val="32"/>
          <w:szCs w:val="32"/>
        </w:rPr>
        <w:t>事故评估组</w:t>
      </w:r>
    </w:p>
    <w:p w14:paraId="34451A84">
      <w:pPr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AB43DA6">
      <w:pPr>
        <w:ind w:firstLine="3680" w:firstLineChars="1150"/>
        <w:rPr>
          <w:rFonts w:ascii="仿宋_GB2312" w:hAnsi="楷体" w:eastAsia="仿宋_GB2312"/>
          <w:sz w:val="32"/>
          <w:szCs w:val="32"/>
        </w:rPr>
      </w:pPr>
    </w:p>
    <w:p w14:paraId="3363E2E3">
      <w:pPr>
        <w:tabs>
          <w:tab w:val="left" w:pos="0"/>
        </w:tabs>
        <w:rPr>
          <w:rFonts w:ascii="黑体" w:hAnsi="黑体" w:eastAsia="黑体"/>
          <w:kern w:val="0"/>
          <w:sz w:val="32"/>
          <w:szCs w:val="32"/>
        </w:rPr>
      </w:pPr>
    </w:p>
    <w:p w14:paraId="2E9E3A8C">
      <w:pPr>
        <w:pStyle w:val="5"/>
      </w:pPr>
    </w:p>
    <w:p w14:paraId="26D993BD">
      <w:pPr>
        <w:pStyle w:val="5"/>
      </w:pPr>
    </w:p>
    <w:p w14:paraId="0A88F906">
      <w:pPr>
        <w:pStyle w:val="5"/>
      </w:pPr>
    </w:p>
    <w:p w14:paraId="6F565BD8">
      <w:pPr>
        <w:pStyle w:val="5"/>
      </w:pPr>
    </w:p>
    <w:p w14:paraId="22DECA86">
      <w:pPr>
        <w:pStyle w:val="5"/>
      </w:pPr>
    </w:p>
    <w:p w14:paraId="43C41E4F"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</w:p>
    <w:p w14:paraId="724EC215"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042E1385">
      <w:pPr>
        <w:spacing w:line="0" w:lineRule="atLeast"/>
        <w:ind w:firstLine="100" w:firstLineChars="100"/>
        <w:rPr>
          <w:rFonts w:ascii="宋体" w:hAnsi="宋体"/>
          <w:b/>
          <w:sz w:val="10"/>
          <w:szCs w:val="10"/>
        </w:rPr>
      </w:pPr>
    </w:p>
    <w:p w14:paraId="699124FE">
      <w:pPr>
        <w:spacing w:line="0" w:lineRule="atLeast"/>
        <w:ind w:firstLine="100" w:firstLineChars="100"/>
        <w:rPr>
          <w:rFonts w:ascii="宋体" w:hAnsi="宋体"/>
          <w:b/>
          <w:sz w:val="10"/>
          <w:szCs w:val="10"/>
        </w:rPr>
      </w:pPr>
    </w:p>
    <w:p w14:paraId="761010E4">
      <w:pPr>
        <w:spacing w:line="0" w:lineRule="atLeas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抚顺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新钢铁有限责任</w:t>
      </w:r>
      <w:r>
        <w:rPr>
          <w:rFonts w:hint="eastAsia" w:ascii="宋体" w:hAnsi="宋体" w:eastAsia="宋体" w:cs="宋体"/>
          <w:b/>
          <w:sz w:val="44"/>
          <w:szCs w:val="44"/>
        </w:rPr>
        <w:t>公司“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44"/>
          <w:szCs w:val="44"/>
        </w:rPr>
        <w:t>·2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44"/>
          <w:szCs w:val="44"/>
        </w:rPr>
        <w:t>”</w:t>
      </w:r>
    </w:p>
    <w:p w14:paraId="639A212D">
      <w:pPr>
        <w:spacing w:line="0" w:lineRule="atLeas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一般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触电</w:t>
      </w:r>
      <w:r>
        <w:rPr>
          <w:rFonts w:hint="eastAsia" w:ascii="宋体" w:hAnsi="宋体" w:eastAsia="宋体" w:cs="宋体"/>
          <w:b/>
          <w:sz w:val="44"/>
          <w:szCs w:val="44"/>
        </w:rPr>
        <w:t>事故</w:t>
      </w:r>
      <w:r>
        <w:rPr>
          <w:rFonts w:hint="eastAsia" w:ascii="宋体" w:hAnsi="宋体" w:eastAsia="宋体" w:cs="宋体"/>
          <w:b/>
          <w:kern w:val="1"/>
          <w:sz w:val="44"/>
          <w:szCs w:val="44"/>
        </w:rPr>
        <w:t>评估组成员</w:t>
      </w:r>
      <w:r>
        <w:rPr>
          <w:rFonts w:hint="eastAsia" w:ascii="宋体" w:hAnsi="宋体" w:eastAsia="宋体" w:cs="宋体"/>
          <w:b/>
          <w:sz w:val="44"/>
          <w:szCs w:val="44"/>
        </w:rPr>
        <w:t>签字表</w:t>
      </w:r>
    </w:p>
    <w:p w14:paraId="6C207D7B">
      <w:pPr>
        <w:pStyle w:val="5"/>
        <w:rPr>
          <w:rFonts w:ascii="宋体" w:hAnsi="宋体" w:eastAsia="宋体" w:cs="宋体"/>
          <w:b/>
          <w:sz w:val="44"/>
          <w:szCs w:val="44"/>
        </w:rPr>
      </w:pPr>
    </w:p>
    <w:tbl>
      <w:tblPr>
        <w:tblStyle w:val="9"/>
        <w:tblpPr w:leftFromText="180" w:rightFromText="180" w:vertAnchor="text" w:horzAnchor="page" w:tblpX="1825" w:tblpY="477"/>
        <w:tblOverlap w:val="never"/>
        <w:tblW w:w="91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92"/>
        <w:gridCol w:w="3601"/>
        <w:gridCol w:w="1605"/>
        <w:gridCol w:w="1287"/>
      </w:tblGrid>
      <w:tr w14:paraId="5A7C4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6E2C953">
            <w:pPr>
              <w:spacing w:line="360" w:lineRule="auto"/>
              <w:ind w:right="-108"/>
              <w:jc w:val="center"/>
              <w:rPr>
                <w:rFonts w:ascii="宋体" w:hAnsi="宋体" w:eastAsia="宋体" w:cs="宋体"/>
                <w:b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32"/>
                <w:szCs w:val="32"/>
              </w:rPr>
              <w:t>职务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0E847814">
            <w:pPr>
              <w:spacing w:line="360" w:lineRule="auto"/>
              <w:ind w:right="-52"/>
              <w:jc w:val="center"/>
              <w:rPr>
                <w:rFonts w:ascii="宋体" w:hAnsi="宋体" w:eastAsia="宋体" w:cs="宋体"/>
                <w:b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32"/>
                <w:szCs w:val="32"/>
              </w:rPr>
              <w:t>姓名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vAlign w:val="center"/>
          </w:tcPr>
          <w:p w14:paraId="4249BE30">
            <w:pPr>
              <w:spacing w:line="360" w:lineRule="auto"/>
              <w:ind w:right="317" w:firstLine="472"/>
              <w:jc w:val="center"/>
              <w:rPr>
                <w:rFonts w:ascii="宋体" w:hAnsi="宋体" w:eastAsia="宋体" w:cs="宋体"/>
                <w:b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32"/>
                <w:szCs w:val="32"/>
              </w:rPr>
              <w:t>单位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27174FC6">
            <w:pPr>
              <w:spacing w:line="360" w:lineRule="auto"/>
              <w:ind w:right="-108"/>
              <w:jc w:val="center"/>
              <w:rPr>
                <w:rFonts w:ascii="宋体" w:hAnsi="宋体" w:eastAsia="宋体" w:cs="宋体"/>
                <w:b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32"/>
                <w:szCs w:val="32"/>
              </w:rPr>
              <w:t>职务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4A60B5CF">
            <w:pPr>
              <w:spacing w:line="360" w:lineRule="auto"/>
              <w:ind w:right="-108"/>
              <w:jc w:val="center"/>
              <w:rPr>
                <w:rFonts w:ascii="宋体" w:hAnsi="宋体" w:eastAsia="宋体" w:cs="宋体"/>
                <w:b/>
                <w:kern w:val="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1"/>
                <w:sz w:val="32"/>
                <w:szCs w:val="32"/>
              </w:rPr>
              <w:t>签名</w:t>
            </w:r>
          </w:p>
        </w:tc>
      </w:tr>
      <w:tr w14:paraId="53F46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00BBA314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组  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6A48F77F">
            <w:pPr>
              <w:spacing w:line="360" w:lineRule="auto"/>
              <w:ind w:right="-52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王  伟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vAlign w:val="center"/>
          </w:tcPr>
          <w:p w14:paraId="3C579112">
            <w:pPr>
              <w:spacing w:line="360" w:lineRule="auto"/>
              <w:ind w:right="175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抚顺市应急局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0D76A1C1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副局长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130E6E8D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</w:p>
        </w:tc>
      </w:tr>
      <w:tr w14:paraId="69B06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51ED3D13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副组长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07DA14E1">
            <w:pPr>
              <w:spacing w:line="360" w:lineRule="auto"/>
              <w:ind w:right="-52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董学贤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vAlign w:val="center"/>
          </w:tcPr>
          <w:p w14:paraId="58634962">
            <w:pPr>
              <w:spacing w:line="360" w:lineRule="auto"/>
              <w:ind w:right="175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1"/>
                <w:sz w:val="30"/>
                <w:szCs w:val="30"/>
              </w:rPr>
              <w:t>抚顺市总工会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5F55541E">
            <w:pPr>
              <w:spacing w:line="0" w:lineRule="atLeast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部  长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23EB1E2E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</w:p>
        </w:tc>
      </w:tr>
      <w:tr w14:paraId="65F2E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F817861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副组长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7CBDCE23">
            <w:pPr>
              <w:spacing w:line="360" w:lineRule="auto"/>
              <w:ind w:right="-108" w:rightChars="0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陈  璐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vAlign w:val="center"/>
          </w:tcPr>
          <w:p w14:paraId="49AD093B">
            <w:pPr>
              <w:spacing w:line="360" w:lineRule="auto"/>
              <w:ind w:right="-108" w:rightChars="0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抚顺市公安局内保分局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4D58B5D1">
            <w:pPr>
              <w:spacing w:line="0" w:lineRule="atLeast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四  级</w:t>
            </w:r>
          </w:p>
          <w:p w14:paraId="17CC39C9">
            <w:pPr>
              <w:spacing w:line="0" w:lineRule="atLeast"/>
              <w:ind w:right="-108" w:rightChars="0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高级警长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71B56D6F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</w:p>
        </w:tc>
      </w:tr>
      <w:tr w14:paraId="3148E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31EF8E50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副组长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571EA5E3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高广来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vAlign w:val="center"/>
          </w:tcPr>
          <w:p w14:paraId="1AC9F57B">
            <w:pPr>
              <w:spacing w:line="360" w:lineRule="auto"/>
              <w:ind w:right="175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抚顺市应急局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1CDC3DDB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科  长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4F36662B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</w:p>
        </w:tc>
      </w:tr>
      <w:tr w14:paraId="27AA3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60BCBD49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成  员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60E0E8CE">
            <w:pPr>
              <w:spacing w:line="360" w:lineRule="auto"/>
              <w:ind w:right="-52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闫洪昌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vAlign w:val="center"/>
          </w:tcPr>
          <w:p w14:paraId="7375F305">
            <w:pPr>
              <w:spacing w:line="360" w:lineRule="auto"/>
              <w:ind w:right="175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抚顺市应急局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7B0B1035">
            <w:pPr>
              <w:spacing w:line="0" w:lineRule="atLeast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主任科员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00C75726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</w:p>
        </w:tc>
      </w:tr>
      <w:tr w14:paraId="2F470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B0C97A5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bookmarkStart w:id="4" w:name="_Hlk181719792"/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成  员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7CA47419">
            <w:pPr>
              <w:spacing w:line="360" w:lineRule="auto"/>
              <w:ind w:right="-52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高  赫</w:t>
            </w:r>
          </w:p>
        </w:tc>
        <w:tc>
          <w:tcPr>
            <w:tcW w:w="3601" w:type="dxa"/>
            <w:tcBorders>
              <w:tl2br w:val="nil"/>
              <w:tr2bl w:val="nil"/>
            </w:tcBorders>
            <w:vAlign w:val="center"/>
          </w:tcPr>
          <w:p w14:paraId="61F19246">
            <w:pPr>
              <w:spacing w:line="360" w:lineRule="auto"/>
              <w:ind w:right="175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抚顺市应急局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 w14:paraId="40940FB3">
            <w:pPr>
              <w:spacing w:line="0" w:lineRule="atLeast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仿宋"/>
                <w:kern w:val="1"/>
                <w:sz w:val="30"/>
                <w:szCs w:val="30"/>
              </w:rPr>
              <w:t>主任科员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 w14:paraId="4B6087AC">
            <w:pPr>
              <w:spacing w:line="360" w:lineRule="auto"/>
              <w:ind w:right="-108"/>
              <w:jc w:val="center"/>
              <w:rPr>
                <w:rFonts w:ascii="仿宋" w:hAnsi="仿宋" w:eastAsia="仿宋" w:cs="仿宋"/>
                <w:kern w:val="1"/>
                <w:sz w:val="30"/>
                <w:szCs w:val="30"/>
              </w:rPr>
            </w:pPr>
          </w:p>
        </w:tc>
      </w:tr>
      <w:bookmarkEnd w:id="4"/>
    </w:tbl>
    <w:p w14:paraId="359644D9">
      <w:pPr>
        <w:rPr>
          <w:rFonts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70335"/>
    </w:sdtPr>
    <w:sdtContent>
      <w:p w14:paraId="7A9A9C74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28025E3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84745"/>
    <w:multiLevelType w:val="singleLevel"/>
    <w:tmpl w:val="F5C847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2NDk5MGQzZjNiNTg2MjZlZTY5ZmUxYmY4YzE4MTMifQ=="/>
  </w:docVars>
  <w:rsids>
    <w:rsidRoot w:val="00B43AC2"/>
    <w:rsid w:val="00002AAE"/>
    <w:rsid w:val="0003550B"/>
    <w:rsid w:val="00036C1E"/>
    <w:rsid w:val="000437F2"/>
    <w:rsid w:val="000514F7"/>
    <w:rsid w:val="0008083C"/>
    <w:rsid w:val="0009102E"/>
    <w:rsid w:val="000A61BB"/>
    <w:rsid w:val="000C2E2D"/>
    <w:rsid w:val="000F27BC"/>
    <w:rsid w:val="00107987"/>
    <w:rsid w:val="001250CB"/>
    <w:rsid w:val="00152F54"/>
    <w:rsid w:val="00165B35"/>
    <w:rsid w:val="00182300"/>
    <w:rsid w:val="001B2123"/>
    <w:rsid w:val="001D011E"/>
    <w:rsid w:val="001D389A"/>
    <w:rsid w:val="001E3906"/>
    <w:rsid w:val="001F0DD1"/>
    <w:rsid w:val="001F13AF"/>
    <w:rsid w:val="00204F2F"/>
    <w:rsid w:val="00210E0D"/>
    <w:rsid w:val="00233F4F"/>
    <w:rsid w:val="00252C68"/>
    <w:rsid w:val="00265D63"/>
    <w:rsid w:val="002821F1"/>
    <w:rsid w:val="00283560"/>
    <w:rsid w:val="002A49EB"/>
    <w:rsid w:val="002A690F"/>
    <w:rsid w:val="002E6230"/>
    <w:rsid w:val="002F7EBF"/>
    <w:rsid w:val="003240FE"/>
    <w:rsid w:val="00324BD1"/>
    <w:rsid w:val="00343C9D"/>
    <w:rsid w:val="00353AF3"/>
    <w:rsid w:val="003808CC"/>
    <w:rsid w:val="00393D60"/>
    <w:rsid w:val="003A5F48"/>
    <w:rsid w:val="003B2257"/>
    <w:rsid w:val="003B3A89"/>
    <w:rsid w:val="003B7AC3"/>
    <w:rsid w:val="003E6428"/>
    <w:rsid w:val="003E65AA"/>
    <w:rsid w:val="00406D16"/>
    <w:rsid w:val="0042744B"/>
    <w:rsid w:val="00432577"/>
    <w:rsid w:val="004343AA"/>
    <w:rsid w:val="00454798"/>
    <w:rsid w:val="0045743B"/>
    <w:rsid w:val="0048569D"/>
    <w:rsid w:val="004B0E15"/>
    <w:rsid w:val="004C465B"/>
    <w:rsid w:val="0051186D"/>
    <w:rsid w:val="00554D7D"/>
    <w:rsid w:val="005565D9"/>
    <w:rsid w:val="00560656"/>
    <w:rsid w:val="00561D7B"/>
    <w:rsid w:val="005714B7"/>
    <w:rsid w:val="005814AF"/>
    <w:rsid w:val="00586A23"/>
    <w:rsid w:val="00591E42"/>
    <w:rsid w:val="00594D16"/>
    <w:rsid w:val="005B369E"/>
    <w:rsid w:val="005E2369"/>
    <w:rsid w:val="005F36AD"/>
    <w:rsid w:val="006147DE"/>
    <w:rsid w:val="0061638F"/>
    <w:rsid w:val="0063722C"/>
    <w:rsid w:val="00637B6E"/>
    <w:rsid w:val="00640E63"/>
    <w:rsid w:val="0065139F"/>
    <w:rsid w:val="00661CEF"/>
    <w:rsid w:val="00691188"/>
    <w:rsid w:val="006C10CC"/>
    <w:rsid w:val="006E55A7"/>
    <w:rsid w:val="007052C1"/>
    <w:rsid w:val="00710CC3"/>
    <w:rsid w:val="007243DC"/>
    <w:rsid w:val="00733B50"/>
    <w:rsid w:val="0074122C"/>
    <w:rsid w:val="00741E49"/>
    <w:rsid w:val="00750127"/>
    <w:rsid w:val="007859D0"/>
    <w:rsid w:val="00793872"/>
    <w:rsid w:val="007A0E62"/>
    <w:rsid w:val="007D29A0"/>
    <w:rsid w:val="00826058"/>
    <w:rsid w:val="00833DC5"/>
    <w:rsid w:val="00837618"/>
    <w:rsid w:val="00840910"/>
    <w:rsid w:val="0087715E"/>
    <w:rsid w:val="00877402"/>
    <w:rsid w:val="00897471"/>
    <w:rsid w:val="008A6113"/>
    <w:rsid w:val="008C44B5"/>
    <w:rsid w:val="008C6F9F"/>
    <w:rsid w:val="008E385F"/>
    <w:rsid w:val="008F17F7"/>
    <w:rsid w:val="00916244"/>
    <w:rsid w:val="009177BC"/>
    <w:rsid w:val="0097395D"/>
    <w:rsid w:val="00994E95"/>
    <w:rsid w:val="009A1E18"/>
    <w:rsid w:val="009B2B3B"/>
    <w:rsid w:val="009B58E3"/>
    <w:rsid w:val="009E7AC9"/>
    <w:rsid w:val="009F4A82"/>
    <w:rsid w:val="00A36F02"/>
    <w:rsid w:val="00A46AAC"/>
    <w:rsid w:val="00A5623E"/>
    <w:rsid w:val="00A97EE8"/>
    <w:rsid w:val="00AB5C81"/>
    <w:rsid w:val="00AB6378"/>
    <w:rsid w:val="00AD0828"/>
    <w:rsid w:val="00AF73E9"/>
    <w:rsid w:val="00B0578F"/>
    <w:rsid w:val="00B06009"/>
    <w:rsid w:val="00B15093"/>
    <w:rsid w:val="00B42645"/>
    <w:rsid w:val="00B43AC2"/>
    <w:rsid w:val="00B44C62"/>
    <w:rsid w:val="00B528B1"/>
    <w:rsid w:val="00B7602A"/>
    <w:rsid w:val="00B82D06"/>
    <w:rsid w:val="00B843A2"/>
    <w:rsid w:val="00BA0010"/>
    <w:rsid w:val="00BC5351"/>
    <w:rsid w:val="00BD0899"/>
    <w:rsid w:val="00BE0E0C"/>
    <w:rsid w:val="00BF15E8"/>
    <w:rsid w:val="00BF1A66"/>
    <w:rsid w:val="00BF5017"/>
    <w:rsid w:val="00C02118"/>
    <w:rsid w:val="00C04C67"/>
    <w:rsid w:val="00C10F67"/>
    <w:rsid w:val="00C13706"/>
    <w:rsid w:val="00C24922"/>
    <w:rsid w:val="00C26124"/>
    <w:rsid w:val="00C354DF"/>
    <w:rsid w:val="00C4661C"/>
    <w:rsid w:val="00C62AFC"/>
    <w:rsid w:val="00C849C8"/>
    <w:rsid w:val="00C904C9"/>
    <w:rsid w:val="00C95576"/>
    <w:rsid w:val="00CD4B17"/>
    <w:rsid w:val="00CD69DF"/>
    <w:rsid w:val="00CE29B2"/>
    <w:rsid w:val="00CE3D21"/>
    <w:rsid w:val="00D04BB4"/>
    <w:rsid w:val="00D30970"/>
    <w:rsid w:val="00D322E3"/>
    <w:rsid w:val="00D42CF5"/>
    <w:rsid w:val="00D56A63"/>
    <w:rsid w:val="00D87074"/>
    <w:rsid w:val="00DE4397"/>
    <w:rsid w:val="00DF5DB9"/>
    <w:rsid w:val="00E01325"/>
    <w:rsid w:val="00E22CE2"/>
    <w:rsid w:val="00E57EE1"/>
    <w:rsid w:val="00E653E1"/>
    <w:rsid w:val="00E66DFC"/>
    <w:rsid w:val="00E81DD2"/>
    <w:rsid w:val="00E8719C"/>
    <w:rsid w:val="00E909DD"/>
    <w:rsid w:val="00E91064"/>
    <w:rsid w:val="00E91D0F"/>
    <w:rsid w:val="00EA4F02"/>
    <w:rsid w:val="00EB483F"/>
    <w:rsid w:val="00ED299A"/>
    <w:rsid w:val="00F43A27"/>
    <w:rsid w:val="00F5547E"/>
    <w:rsid w:val="00F63FC0"/>
    <w:rsid w:val="00F814F7"/>
    <w:rsid w:val="00F947B6"/>
    <w:rsid w:val="00FD7F9A"/>
    <w:rsid w:val="04065B04"/>
    <w:rsid w:val="05527E76"/>
    <w:rsid w:val="09D7268F"/>
    <w:rsid w:val="0BC35A98"/>
    <w:rsid w:val="0D433B75"/>
    <w:rsid w:val="10AF3930"/>
    <w:rsid w:val="137A1780"/>
    <w:rsid w:val="1AA23FB9"/>
    <w:rsid w:val="1DF70D3F"/>
    <w:rsid w:val="1E622F77"/>
    <w:rsid w:val="1FC6639D"/>
    <w:rsid w:val="23992BE1"/>
    <w:rsid w:val="27FB5056"/>
    <w:rsid w:val="2C8C0C05"/>
    <w:rsid w:val="2E2D381F"/>
    <w:rsid w:val="2FF376DF"/>
    <w:rsid w:val="302E0811"/>
    <w:rsid w:val="346C66CC"/>
    <w:rsid w:val="34A5F3C1"/>
    <w:rsid w:val="37127358"/>
    <w:rsid w:val="378D62B9"/>
    <w:rsid w:val="37FD9D06"/>
    <w:rsid w:val="3E192C67"/>
    <w:rsid w:val="3E6F1935"/>
    <w:rsid w:val="40A62179"/>
    <w:rsid w:val="40E32431"/>
    <w:rsid w:val="43A7467E"/>
    <w:rsid w:val="47A478B6"/>
    <w:rsid w:val="48106157"/>
    <w:rsid w:val="492F1773"/>
    <w:rsid w:val="4C015CAE"/>
    <w:rsid w:val="4CBF0734"/>
    <w:rsid w:val="4D0D2FD4"/>
    <w:rsid w:val="4DCC4911"/>
    <w:rsid w:val="50895D90"/>
    <w:rsid w:val="51626F91"/>
    <w:rsid w:val="51F34731"/>
    <w:rsid w:val="54322F20"/>
    <w:rsid w:val="59921039"/>
    <w:rsid w:val="59D74D15"/>
    <w:rsid w:val="5C7A4A82"/>
    <w:rsid w:val="5EA051FB"/>
    <w:rsid w:val="5EFF6362"/>
    <w:rsid w:val="6105405D"/>
    <w:rsid w:val="6507D7B5"/>
    <w:rsid w:val="65A24845"/>
    <w:rsid w:val="68EF61D8"/>
    <w:rsid w:val="6AAB4A03"/>
    <w:rsid w:val="6DA13CD3"/>
    <w:rsid w:val="6FF84966"/>
    <w:rsid w:val="70496864"/>
    <w:rsid w:val="71CF623D"/>
    <w:rsid w:val="76D6403D"/>
    <w:rsid w:val="77B85DCB"/>
    <w:rsid w:val="79B66F3A"/>
    <w:rsid w:val="7A3D734C"/>
    <w:rsid w:val="7B3936FE"/>
    <w:rsid w:val="7BFF0452"/>
    <w:rsid w:val="7C403CC8"/>
    <w:rsid w:val="7CD715CB"/>
    <w:rsid w:val="7CFB0AFE"/>
    <w:rsid w:val="7DF03421"/>
    <w:rsid w:val="7FDB6E44"/>
    <w:rsid w:val="AFB7773D"/>
    <w:rsid w:val="BDFDDF47"/>
    <w:rsid w:val="BE3FA339"/>
    <w:rsid w:val="BEEF24D7"/>
    <w:rsid w:val="D5DF9574"/>
    <w:rsid w:val="DF7F5216"/>
    <w:rsid w:val="EB9D44A2"/>
    <w:rsid w:val="EFDFAAA4"/>
    <w:rsid w:val="F3BE4407"/>
    <w:rsid w:val="F7FFF5A1"/>
    <w:rsid w:val="FACD2E7A"/>
    <w:rsid w:val="FBFCD4BC"/>
    <w:rsid w:val="FCDB0EE1"/>
    <w:rsid w:val="FFAFA2D3"/>
    <w:rsid w:val="FFCD8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60" w:lineRule="exact"/>
      <w:ind w:firstLine="420" w:firstLineChars="200"/>
    </w:pPr>
    <w:rPr>
      <w:rFonts w:ascii="方正仿宋简体" w:hAnsi="宋体" w:eastAsia="方正仿宋简体" w:cs="方正仿宋简体"/>
      <w:kern w:val="0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标题 Char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2299</Words>
  <Characters>2342</Characters>
  <Lines>15</Lines>
  <Paragraphs>4</Paragraphs>
  <TotalTime>4</TotalTime>
  <ScaleCrop>false</ScaleCrop>
  <LinksUpToDate>false</LinksUpToDate>
  <CharactersWithSpaces>2397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2017-05-07T09:14:00Z</dcterms:created>
  <dc:creator>Administrator</dc:creator>
  <cp:lastModifiedBy>广来</cp:lastModifiedBy>
  <cp:lastPrinted>2024-11-07T07:12:32Z</cp:lastPrinted>
  <dcterms:modified xsi:type="dcterms:W3CDTF">2024-11-07T07:12:35Z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37ACC38AC68040E0AB1A0BF31C230088</vt:lpwstr>
  </property>
</Properties>
</file>