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A04C2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highlight w:val="none"/>
        </w:rPr>
      </w:pPr>
      <w:r>
        <w:rPr>
          <w:rFonts w:hint="eastAsia" w:ascii="宋体" w:hAnsi="宋体" w:eastAsia="宋体" w:cs="宋体"/>
          <w:b/>
          <w:bCs/>
          <w:sz w:val="44"/>
          <w:szCs w:val="44"/>
          <w:highlight w:val="none"/>
          <w:lang w:eastAsia="zh-CN"/>
        </w:rPr>
        <w:t>抚顺望花新钢高炉</w:t>
      </w:r>
      <w:r>
        <w:rPr>
          <w:rFonts w:hint="eastAsia" w:ascii="宋体" w:hAnsi="宋体" w:eastAsia="宋体" w:cs="宋体"/>
          <w:b/>
          <w:bCs/>
          <w:sz w:val="44"/>
          <w:szCs w:val="44"/>
          <w:highlight w:val="none"/>
        </w:rPr>
        <w:t>低碳绿色智能化</w:t>
      </w:r>
    </w:p>
    <w:p w14:paraId="583194D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rPr>
        <w:t>升级改造</w:t>
      </w:r>
      <w:r>
        <w:rPr>
          <w:rFonts w:hint="eastAsia" w:ascii="宋体" w:hAnsi="宋体" w:eastAsia="宋体" w:cs="宋体"/>
          <w:b/>
          <w:bCs/>
          <w:sz w:val="44"/>
          <w:szCs w:val="44"/>
          <w:highlight w:val="none"/>
          <w:lang w:val="en-US" w:eastAsia="zh-CN"/>
        </w:rPr>
        <w:t>项目矿槽及槽前转运系统</w:t>
      </w:r>
    </w:p>
    <w:p w14:paraId="6D2BA05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rPr>
      </w:pPr>
      <w:r>
        <w:rPr>
          <w:rFonts w:hint="eastAsia" w:ascii="宋体" w:hAnsi="宋体" w:eastAsia="宋体" w:cs="宋体"/>
          <w:b/>
          <w:bCs/>
          <w:sz w:val="44"/>
          <w:szCs w:val="44"/>
          <w:highlight w:val="none"/>
          <w:lang w:val="en-US" w:eastAsia="zh-CN"/>
        </w:rPr>
        <w:t>建安工程</w:t>
      </w:r>
      <w:r>
        <w:rPr>
          <w:rFonts w:hint="eastAsia" w:ascii="宋体" w:hAnsi="宋体" w:eastAsia="宋体" w:cs="宋体"/>
          <w:b/>
          <w:bCs/>
          <w:sz w:val="44"/>
          <w:szCs w:val="44"/>
        </w:rPr>
        <w:t>“10·24</w:t>
      </w:r>
      <w:r>
        <w:rPr>
          <w:rFonts w:hint="eastAsia" w:ascii="宋体" w:hAnsi="宋体" w:eastAsia="宋体" w:cs="宋体"/>
          <w:b/>
          <w:bCs/>
          <w:sz w:val="44"/>
          <w:szCs w:val="44"/>
          <w:lang w:eastAsia="zh-CN"/>
        </w:rPr>
        <w:t>”</w:t>
      </w:r>
      <w:r>
        <w:rPr>
          <w:rFonts w:hint="eastAsia" w:ascii="宋体" w:hAnsi="宋体" w:eastAsia="宋体" w:cs="宋体"/>
          <w:b/>
          <w:bCs/>
          <w:sz w:val="44"/>
          <w:szCs w:val="44"/>
        </w:rPr>
        <w:t>一般高处坠落</w:t>
      </w:r>
    </w:p>
    <w:p w14:paraId="63A438B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rPr>
      </w:pPr>
      <w:r>
        <w:rPr>
          <w:rFonts w:hint="eastAsia" w:ascii="宋体" w:hAnsi="宋体" w:eastAsia="宋体" w:cs="宋体"/>
          <w:b/>
          <w:bCs/>
          <w:sz w:val="44"/>
          <w:szCs w:val="44"/>
        </w:rPr>
        <w:t>事故调查报告</w:t>
      </w:r>
    </w:p>
    <w:p w14:paraId="40D61D69">
      <w:pPr>
        <w:pStyle w:val="2"/>
        <w:keepNext w:val="0"/>
        <w:keepLines w:val="0"/>
        <w:pageBreakBefore w:val="0"/>
        <w:kinsoku/>
        <w:wordWrap/>
        <w:overflowPunct/>
        <w:topLinePunct w:val="0"/>
        <w:autoSpaceDE/>
        <w:autoSpaceDN/>
        <w:bidi w:val="0"/>
        <w:adjustRightInd/>
        <w:spacing w:line="560" w:lineRule="exact"/>
        <w:textAlignment w:val="auto"/>
        <w:rPr>
          <w:rFonts w:hint="eastAsia" w:ascii="宋体" w:hAnsi="宋体" w:cs="宋体"/>
          <w:b/>
          <w:bCs/>
          <w:sz w:val="44"/>
          <w:szCs w:val="44"/>
        </w:rPr>
      </w:pPr>
    </w:p>
    <w:p w14:paraId="51C8DA9D">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32"/>
          <w:szCs w:val="32"/>
        </w:rPr>
        <w:t>2025年</w:t>
      </w:r>
      <w:r>
        <w:rPr>
          <w:rFonts w:hint="eastAsia" w:ascii="仿宋_GB2312" w:hAnsi="仿宋_GB2312" w:eastAsia="仿宋_GB2312" w:cs="仿宋_GB2312"/>
          <w:color w:val="000000"/>
          <w:sz w:val="32"/>
          <w:szCs w:val="32"/>
          <w:lang w:val="en-US" w:eastAsia="zh-CN"/>
        </w:rPr>
        <w:t>10</w:t>
      </w:r>
      <w:r>
        <w:rPr>
          <w:rFonts w:hint="eastAsia" w:ascii="仿宋_GB2312" w:hAnsi="仿宋_GB2312" w:eastAsia="仿宋_GB2312" w:cs="仿宋_GB2312"/>
          <w:color w:val="000000"/>
          <w:sz w:val="32"/>
          <w:szCs w:val="32"/>
        </w:rPr>
        <w:t>月2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日</w:t>
      </w:r>
      <w:r>
        <w:rPr>
          <w:rFonts w:hint="eastAsia" w:ascii="仿宋_GB2312" w:hAnsi="仿宋_GB2312" w:eastAsia="仿宋_GB2312" w:cs="仿宋_GB2312"/>
          <w:color w:val="000000"/>
          <w:sz w:val="32"/>
          <w:szCs w:val="32"/>
          <w:highlight w:val="none"/>
        </w:rPr>
        <w:t>1</w:t>
      </w:r>
      <w:r>
        <w:rPr>
          <w:rFonts w:hint="eastAsia" w:ascii="仿宋_GB2312" w:hAnsi="仿宋_GB2312" w:eastAsia="仿宋_GB2312" w:cs="仿宋_GB2312"/>
          <w:color w:val="000000"/>
          <w:sz w:val="32"/>
          <w:szCs w:val="32"/>
          <w:highlight w:val="none"/>
          <w:lang w:val="en-US" w:eastAsia="zh-CN"/>
        </w:rPr>
        <w:t>3</w:t>
      </w:r>
      <w:r>
        <w:rPr>
          <w:rFonts w:hint="eastAsia" w:ascii="仿宋_GB2312" w:hAnsi="仿宋_GB2312" w:eastAsia="仿宋_GB2312" w:cs="仿宋_GB2312"/>
          <w:color w:val="000000"/>
          <w:sz w:val="32"/>
          <w:szCs w:val="32"/>
          <w:highlight w:val="none"/>
        </w:rPr>
        <w:t>时</w:t>
      </w:r>
      <w:r>
        <w:rPr>
          <w:rFonts w:hint="eastAsia" w:ascii="仿宋_GB2312" w:hAnsi="仿宋_GB2312" w:eastAsia="仿宋_GB2312" w:cs="仿宋_GB2312"/>
          <w:color w:val="auto"/>
          <w:sz w:val="32"/>
          <w:szCs w:val="32"/>
          <w:highlight w:val="none"/>
          <w:lang w:val="en-US" w:eastAsia="zh-CN"/>
        </w:rPr>
        <w:t>45</w:t>
      </w:r>
      <w:r>
        <w:rPr>
          <w:rFonts w:hint="eastAsia" w:ascii="仿宋_GB2312" w:hAnsi="仿宋_GB2312" w:eastAsia="仿宋_GB2312" w:cs="仿宋_GB2312"/>
          <w:color w:val="auto"/>
          <w:sz w:val="32"/>
          <w:szCs w:val="32"/>
        </w:rPr>
        <w:t>分</w:t>
      </w:r>
      <w:r>
        <w:rPr>
          <w:rFonts w:hint="eastAsia" w:ascii="仿宋_GB2312" w:hAnsi="仿宋_GB2312" w:eastAsia="仿宋_GB2312" w:cs="仿宋_GB2312"/>
          <w:color w:val="000000"/>
          <w:sz w:val="32"/>
          <w:szCs w:val="32"/>
        </w:rPr>
        <w:t>许，</w:t>
      </w:r>
      <w:r>
        <w:rPr>
          <w:rFonts w:hint="eastAsia" w:ascii="仿宋_GB2312" w:hAnsi="仿宋_GB2312" w:eastAsia="仿宋_GB2312" w:cs="仿宋_GB2312"/>
          <w:color w:val="auto"/>
          <w:sz w:val="32"/>
          <w:szCs w:val="32"/>
        </w:rPr>
        <w:t>在</w:t>
      </w:r>
      <w:r>
        <w:rPr>
          <w:rFonts w:hint="eastAsia" w:ascii="仿宋_GB2312" w:hAnsi="仿宋_GB2312" w:eastAsia="仿宋_GB2312" w:cs="仿宋_GB2312"/>
          <w:color w:val="auto"/>
          <w:sz w:val="32"/>
          <w:szCs w:val="32"/>
          <w:lang w:val="en-US" w:eastAsia="zh-CN"/>
        </w:rPr>
        <w:t>位于抚顺市望花区沈抚路18号的抚顺新钢铁有限责任公司高炉低碳绿色智能化升级改造项目矿槽及槽前转运系统建安工程（二标段）施工现场，</w:t>
      </w:r>
      <w:r>
        <w:rPr>
          <w:rFonts w:hint="eastAsia" w:ascii="仿宋_GB2312" w:hAnsi="仿宋_GB2312" w:eastAsia="仿宋_GB2312" w:cs="仿宋_GB2312"/>
          <w:sz w:val="32"/>
          <w:szCs w:val="32"/>
          <w:lang w:val="en-US" w:eastAsia="zh-CN"/>
        </w:rPr>
        <w:t>四川共创遂发建筑工程有限公司</w:t>
      </w:r>
      <w:r>
        <w:rPr>
          <w:rFonts w:hint="eastAsia" w:ascii="仿宋_GB2312" w:hAnsi="仿宋_GB2312" w:eastAsia="仿宋_GB2312" w:cs="仿宋_GB2312"/>
          <w:color w:val="auto"/>
          <w:sz w:val="32"/>
          <w:szCs w:val="32"/>
          <w:lang w:val="en-US" w:eastAsia="zh-CN"/>
        </w:rPr>
        <w:t>1名作业人员在工程收尾阶段清理建筑材料和垃圾过程中发生高处坠落，事故造成1人死亡，直接经济损失约</w:t>
      </w:r>
      <w:r>
        <w:rPr>
          <w:rFonts w:hint="eastAsia" w:ascii="仿宋_GB2312" w:hAnsi="仿宋_GB2312" w:eastAsia="仿宋_GB2312" w:cs="仿宋_GB2312"/>
          <w:color w:val="auto"/>
          <w:sz w:val="32"/>
          <w:szCs w:val="32"/>
          <w:highlight w:val="none"/>
          <w:lang w:val="en-US" w:eastAsia="zh-CN"/>
        </w:rPr>
        <w:t>130万</w:t>
      </w:r>
      <w:r>
        <w:rPr>
          <w:rFonts w:hint="eastAsia" w:ascii="仿宋_GB2312" w:hAnsi="仿宋_GB2312" w:eastAsia="仿宋_GB2312" w:cs="仿宋_GB2312"/>
          <w:color w:val="auto"/>
          <w:sz w:val="32"/>
          <w:szCs w:val="32"/>
          <w:lang w:val="en-US" w:eastAsia="zh-CN"/>
        </w:rPr>
        <w:t>元。</w:t>
      </w:r>
    </w:p>
    <w:p w14:paraId="49B9CBE6">
      <w:pPr>
        <w:pStyle w:val="10"/>
        <w:keepNext w:val="0"/>
        <w:keepLines w:val="0"/>
        <w:pageBreakBefore w:val="0"/>
        <w:widowControl/>
        <w:shd w:val="clear" w:color="auto" w:fill="FFFFFF"/>
        <w:kinsoku/>
        <w:wordWrap/>
        <w:overflowPunct/>
        <w:topLinePunct w:val="0"/>
        <w:autoSpaceDE/>
        <w:autoSpaceDN/>
        <w:bidi w:val="0"/>
        <w:adjustRightInd/>
        <w:spacing w:before="0" w:beforeAutospacing="0" w:after="0" w:afterAutospacing="0" w:line="560" w:lineRule="exact"/>
        <w:ind w:firstLine="640" w:firstLineChars="200"/>
        <w:jc w:val="both"/>
        <w:textAlignment w:val="auto"/>
        <w:rPr>
          <w:rFonts w:hint="eastAsia" w:ascii="仿宋" w:hAnsi="仿宋" w:eastAsia="仿宋"/>
          <w:sz w:val="32"/>
          <w:szCs w:val="32"/>
        </w:rPr>
      </w:pPr>
      <w:r>
        <w:rPr>
          <w:rFonts w:hint="eastAsia" w:ascii="仿宋" w:hAnsi="仿宋" w:eastAsia="仿宋" w:cs="仿宋"/>
          <w:bCs/>
          <w:color w:val="000000"/>
          <w:sz w:val="32"/>
          <w:szCs w:val="32"/>
        </w:rPr>
        <w:t>事故发生后，抚顺市人民政府依据《中华人民共和国安全生产法》《生产安全事故报告和调查处理条例》等法律法规，成立了由市应急局牵头，市公安局、</w:t>
      </w:r>
      <w:r>
        <w:rPr>
          <w:rFonts w:hint="eastAsia" w:ascii="仿宋_GB2312" w:hAnsi="仿宋_GB2312" w:eastAsia="仿宋_GB2312" w:cs="仿宋_GB2312"/>
          <w:kern w:val="1"/>
          <w:sz w:val="32"/>
          <w:szCs w:val="32"/>
        </w:rPr>
        <w:t>市总工会组成的</w:t>
      </w:r>
      <w:r>
        <w:rPr>
          <w:rFonts w:hint="eastAsia" w:ascii="仿宋_GB2312" w:hAnsi="仿宋_GB2312" w:eastAsia="仿宋_GB2312" w:cs="仿宋_GB2312"/>
          <w:kern w:val="1"/>
          <w:sz w:val="32"/>
          <w:szCs w:val="32"/>
          <w:lang w:val="en-US" w:eastAsia="zh-CN"/>
        </w:rPr>
        <w:t>抚顺望花新钢高炉低碳绿色智能化升级改造项目矿槽及槽前转运系统建安工程“10·24”一般高处坠落事故</w:t>
      </w:r>
      <w:r>
        <w:rPr>
          <w:rFonts w:hint="eastAsia" w:ascii="仿宋_GB2312" w:hAnsi="仿宋_GB2312" w:eastAsia="仿宋_GB2312" w:cs="仿宋_GB2312"/>
          <w:kern w:val="1"/>
          <w:sz w:val="32"/>
          <w:szCs w:val="32"/>
        </w:rPr>
        <w:t>调查组（以下简称“事故调查组”），</w:t>
      </w:r>
      <w:r>
        <w:rPr>
          <w:rFonts w:hint="eastAsia" w:ascii="仿宋" w:hAnsi="仿宋" w:eastAsia="仿宋"/>
          <w:sz w:val="32"/>
          <w:szCs w:val="32"/>
        </w:rPr>
        <w:t>开展事故调查工作，事故调查组聘请了有关专家参与调查，市纪委监委全程监督。</w:t>
      </w:r>
    </w:p>
    <w:p w14:paraId="1597C6C7">
      <w:pPr>
        <w:keepNext w:val="0"/>
        <w:keepLines w:val="0"/>
        <w:pageBreakBefore w:val="0"/>
        <w:kinsoku/>
        <w:wordWrap/>
        <w:overflowPunct/>
        <w:topLinePunct w:val="0"/>
        <w:bidi w:val="0"/>
        <w:spacing w:line="560" w:lineRule="exact"/>
        <w:ind w:left="59" w:firstLine="64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事故调查组坚持“科学严谨、依法依规、实事求是、注重实效”和“四不放过”的原则，通过</w:t>
      </w:r>
      <w:r>
        <w:rPr>
          <w:rFonts w:hint="eastAsia" w:ascii="仿宋_GB2312" w:hAnsi="仿宋_GB2312" w:eastAsia="仿宋_GB2312" w:cs="仿宋_GB2312"/>
          <w:color w:val="000000"/>
          <w:sz w:val="32"/>
          <w:szCs w:val="32"/>
        </w:rPr>
        <w:t>现场勘察、</w:t>
      </w:r>
      <w:r>
        <w:rPr>
          <w:rFonts w:hint="eastAsia" w:ascii="仿宋_GB2312" w:hAnsi="仿宋_GB2312" w:eastAsia="仿宋_GB2312" w:cs="仿宋_GB2312"/>
          <w:sz w:val="32"/>
          <w:szCs w:val="32"/>
        </w:rPr>
        <w:t>查阅资料、</w:t>
      </w:r>
      <w:r>
        <w:rPr>
          <w:rFonts w:hint="eastAsia" w:ascii="仿宋_GB2312" w:hAnsi="仿宋_GB2312" w:eastAsia="仿宋_GB2312" w:cs="仿宋_GB2312"/>
          <w:color w:val="000000"/>
          <w:sz w:val="32"/>
          <w:szCs w:val="32"/>
        </w:rPr>
        <w:t>对相关人员询问、收集有关物证和书证</w:t>
      </w:r>
      <w:r>
        <w:rPr>
          <w:rFonts w:hint="eastAsia" w:ascii="仿宋_GB2312" w:hAnsi="仿宋_GB2312" w:eastAsia="仿宋_GB2312" w:cs="仿宋_GB2312"/>
          <w:kern w:val="1"/>
          <w:sz w:val="32"/>
          <w:szCs w:val="32"/>
        </w:rPr>
        <w:t>，查清了事故发生的经过、原因和应急处置情况，认定了事故的性质和责任，</w:t>
      </w:r>
      <w:r>
        <w:rPr>
          <w:rFonts w:hint="eastAsia" w:ascii="仿宋_GB2312" w:hAnsi="仿宋_GB2312" w:eastAsia="仿宋_GB2312" w:cs="仿宋_GB2312"/>
          <w:color w:val="000000"/>
          <w:sz w:val="32"/>
          <w:szCs w:val="32"/>
        </w:rPr>
        <w:t>提出了对责任</w:t>
      </w:r>
      <w:r>
        <w:rPr>
          <w:rFonts w:hint="eastAsia" w:ascii="仿宋_GB2312" w:hAnsi="仿宋_GB2312" w:eastAsia="仿宋_GB2312" w:cs="仿宋_GB2312"/>
          <w:color w:val="000000"/>
          <w:sz w:val="32"/>
          <w:szCs w:val="32"/>
          <w:lang w:val="en-US" w:eastAsia="zh-CN"/>
        </w:rPr>
        <w:t>人员</w:t>
      </w:r>
      <w:r>
        <w:rPr>
          <w:rFonts w:hint="eastAsia" w:ascii="仿宋_GB2312" w:hAnsi="仿宋_GB2312" w:eastAsia="仿宋_GB2312" w:cs="仿宋_GB2312"/>
          <w:color w:val="000000"/>
          <w:sz w:val="32"/>
          <w:szCs w:val="32"/>
        </w:rPr>
        <w:t>、责任单位和有关单位的处理建议，事故整改及防范措施。</w:t>
      </w:r>
    </w:p>
    <w:p w14:paraId="29015567">
      <w:pPr>
        <w:keepNext w:val="0"/>
        <w:keepLines w:val="0"/>
        <w:pageBreakBefore w:val="0"/>
        <w:kinsoku/>
        <w:wordWrap/>
        <w:overflowPunct/>
        <w:topLinePunct w:val="0"/>
        <w:bidi w:val="0"/>
        <w:spacing w:line="560" w:lineRule="exact"/>
        <w:ind w:left="59" w:firstLine="64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经调查认定，“</w:t>
      </w:r>
      <w:r>
        <w:rPr>
          <w:rFonts w:hint="eastAsia" w:ascii="仿宋_GB2312" w:hAnsi="仿宋_GB2312" w:eastAsia="仿宋_GB2312" w:cs="仿宋_GB2312"/>
          <w:color w:val="000000"/>
          <w:sz w:val="32"/>
          <w:szCs w:val="32"/>
          <w:highlight w:val="none"/>
          <w:lang w:val="en-US" w:eastAsia="zh-CN"/>
        </w:rPr>
        <w:t>10</w:t>
      </w:r>
      <w:r>
        <w:rPr>
          <w:rFonts w:hint="eastAsia" w:ascii="仿宋_GB2312" w:hAnsi="仿宋_GB2312" w:eastAsia="仿宋_GB2312" w:cs="仿宋_GB2312"/>
          <w:color w:val="000000"/>
          <w:sz w:val="32"/>
          <w:szCs w:val="32"/>
          <w:highlight w:val="none"/>
        </w:rPr>
        <w:t>·2</w:t>
      </w:r>
      <w:r>
        <w:rPr>
          <w:rFonts w:hint="eastAsia" w:ascii="仿宋_GB2312" w:hAnsi="仿宋_GB2312" w:eastAsia="仿宋_GB2312" w:cs="仿宋_GB2312"/>
          <w:color w:val="000000"/>
          <w:sz w:val="32"/>
          <w:szCs w:val="32"/>
          <w:highlight w:val="none"/>
          <w:lang w:val="en-US" w:eastAsia="zh-CN"/>
        </w:rPr>
        <w:t>4</w:t>
      </w:r>
      <w:r>
        <w:rPr>
          <w:rFonts w:hint="eastAsia" w:ascii="仿宋_GB2312" w:hAnsi="仿宋_GB2312" w:eastAsia="仿宋_GB2312" w:cs="仿宋_GB2312"/>
          <w:color w:val="000000"/>
          <w:sz w:val="32"/>
          <w:szCs w:val="32"/>
          <w:highlight w:val="none"/>
        </w:rPr>
        <w:t>”事故是一起</w:t>
      </w:r>
      <w:r>
        <w:rPr>
          <w:rFonts w:hint="eastAsia" w:ascii="仿宋_GB2312" w:hAnsi="仿宋_GB2312" w:eastAsia="仿宋_GB2312" w:cs="仿宋_GB2312"/>
          <w:color w:val="000000"/>
          <w:sz w:val="32"/>
          <w:szCs w:val="32"/>
          <w:highlight w:val="none"/>
          <w:lang w:val="en-US" w:eastAsia="zh-CN"/>
        </w:rPr>
        <w:t>因</w:t>
      </w:r>
      <w:r>
        <w:rPr>
          <w:rFonts w:hint="eastAsia" w:ascii="仿宋_GB2312" w:hAnsi="仿宋_GB2312" w:eastAsia="仿宋_GB2312" w:cs="仿宋_GB2312"/>
          <w:color w:val="auto"/>
          <w:sz w:val="32"/>
          <w:szCs w:val="32"/>
          <w:highlight w:val="none"/>
          <w:lang w:val="en-US" w:eastAsia="zh-CN"/>
        </w:rPr>
        <w:t>作业现场安全条件差、安全生产管理不到位</w:t>
      </w:r>
      <w:r>
        <w:rPr>
          <w:rFonts w:hint="eastAsia" w:ascii="仿宋_GB2312" w:hAnsi="仿宋_GB2312" w:eastAsia="仿宋_GB2312" w:cs="仿宋_GB2312"/>
          <w:color w:val="auto"/>
          <w:sz w:val="32"/>
          <w:szCs w:val="32"/>
          <w:highlight w:val="none"/>
        </w:rPr>
        <w:t>导致的生产安全责任事故</w:t>
      </w:r>
      <w:r>
        <w:rPr>
          <w:rFonts w:hint="eastAsia" w:ascii="仿宋_GB2312" w:hAnsi="仿宋_GB2312" w:eastAsia="仿宋_GB2312" w:cs="仿宋_GB2312"/>
          <w:color w:val="000000"/>
          <w:sz w:val="32"/>
          <w:szCs w:val="32"/>
          <w:highlight w:val="none"/>
        </w:rPr>
        <w:t>。现将有关情况报告如下：</w:t>
      </w:r>
    </w:p>
    <w:p w14:paraId="5D8C6C7D">
      <w:pPr>
        <w:keepNext w:val="0"/>
        <w:keepLines w:val="0"/>
        <w:pageBreakBefore w:val="0"/>
        <w:kinsoku/>
        <w:wordWrap/>
        <w:overflowPunct/>
        <w:topLinePunct w:val="0"/>
        <w:autoSpaceDE w:val="0"/>
        <w:autoSpaceDN w:val="0"/>
        <w:bidi w:val="0"/>
        <w:adjustRightInd w:val="0"/>
        <w:spacing w:line="560" w:lineRule="exact"/>
        <w:ind w:firstLine="640" w:firstLineChars="200"/>
        <w:textAlignment w:val="auto"/>
        <w:outlineLvl w:val="0"/>
        <w:rPr>
          <w:rFonts w:hint="eastAsia" w:ascii="黑体" w:hAnsi="黑体" w:eastAsia="黑体" w:cs="黑体"/>
          <w:bCs/>
          <w:sz w:val="32"/>
          <w:szCs w:val="32"/>
        </w:rPr>
      </w:pPr>
      <w:r>
        <w:rPr>
          <w:rFonts w:hint="eastAsia" w:ascii="黑体" w:hAnsi="黑体" w:eastAsia="黑体" w:cs="黑体"/>
          <w:bCs/>
          <w:sz w:val="32"/>
          <w:szCs w:val="32"/>
        </w:rPr>
        <w:t>一、事故基本情况</w:t>
      </w:r>
    </w:p>
    <w:p w14:paraId="3DBCBB16">
      <w:pPr>
        <w:keepNext w:val="0"/>
        <w:keepLines w:val="0"/>
        <w:pageBreakBefore w:val="0"/>
        <w:kinsoku/>
        <w:wordWrap/>
        <w:overflowPunct/>
        <w:topLinePunct w:val="0"/>
        <w:autoSpaceDE w:val="0"/>
        <w:autoSpaceDN w:val="0"/>
        <w:bidi w:val="0"/>
        <w:adjustRightInd w:val="0"/>
        <w:spacing w:line="560" w:lineRule="exact"/>
        <w:ind w:left="420"/>
        <w:textAlignment w:val="auto"/>
        <w:outlineLvl w:val="1"/>
        <w:rPr>
          <w:rFonts w:hint="eastAsia" w:ascii="楷体_GB2312" w:hAnsi="楷体_GB2312" w:eastAsia="楷体_GB2312" w:cs="楷体_GB2312"/>
          <w:b/>
          <w:sz w:val="32"/>
          <w:szCs w:val="32"/>
          <w:highlight w:val="none"/>
        </w:rPr>
      </w:pPr>
      <w:r>
        <w:rPr>
          <w:rFonts w:hint="eastAsia" w:ascii="楷体_GB2312" w:hAnsi="楷体_GB2312" w:eastAsia="楷体_GB2312" w:cs="楷体_GB2312"/>
          <w:b/>
          <w:sz w:val="32"/>
          <w:szCs w:val="32"/>
          <w:highlight w:val="none"/>
        </w:rPr>
        <w:t>（一）工程项目及承包施工概况</w:t>
      </w:r>
    </w:p>
    <w:p w14:paraId="23FB35C5">
      <w:pPr>
        <w:keepNext w:val="0"/>
        <w:keepLines w:val="0"/>
        <w:pageBreakBefore w:val="0"/>
        <w:numPr>
          <w:ilvl w:val="0"/>
          <w:numId w:val="0"/>
        </w:numPr>
        <w:kinsoku/>
        <w:wordWrap/>
        <w:overflowPunct/>
        <w:topLinePunct w:val="0"/>
        <w:autoSpaceDE w:val="0"/>
        <w:autoSpaceDN w:val="0"/>
        <w:bidi w:val="0"/>
        <w:adjustRightInd w:val="0"/>
        <w:spacing w:line="560" w:lineRule="exact"/>
        <w:ind w:firstLine="643" w:firstLineChars="200"/>
        <w:textAlignment w:val="auto"/>
        <w:outlineLvl w:val="2"/>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lang w:val="en-US" w:eastAsia="zh-CN"/>
        </w:rPr>
        <w:t>1.</w:t>
      </w:r>
      <w:r>
        <w:rPr>
          <w:rFonts w:hint="eastAsia" w:ascii="仿宋_GB2312" w:hAnsi="仿宋_GB2312" w:eastAsia="仿宋_GB2312" w:cs="仿宋_GB2312"/>
          <w:b/>
          <w:sz w:val="32"/>
          <w:szCs w:val="32"/>
          <w:highlight w:val="none"/>
        </w:rPr>
        <w:t>工程项目概况</w:t>
      </w:r>
    </w:p>
    <w:p w14:paraId="6073BE45">
      <w:pPr>
        <w:keepNext w:val="0"/>
        <w:keepLines w:val="0"/>
        <w:pageBreakBefore w:val="0"/>
        <w:kinsoku/>
        <w:wordWrap/>
        <w:overflowPunct/>
        <w:topLinePunct w:val="0"/>
        <w:bidi w:val="0"/>
        <w:spacing w:line="560" w:lineRule="exact"/>
        <w:ind w:left="59" w:firstLine="640"/>
        <w:textAlignment w:val="auto"/>
        <w:rPr>
          <w:rFonts w:hint="default" w:ascii="仿宋_GB2312" w:hAnsi="仿宋_GB2312" w:eastAsia="仿宋_GB2312" w:cs="仿宋_GB2312"/>
          <w:color w:val="FF0000"/>
          <w:sz w:val="32"/>
          <w:szCs w:val="32"/>
          <w:lang w:val="en-US" w:eastAsia="zh-CN"/>
        </w:rPr>
      </w:pPr>
      <w:r>
        <w:rPr>
          <w:rFonts w:hint="eastAsia" w:ascii="仿宋_GB2312" w:hAnsi="仿宋_GB2312" w:eastAsia="仿宋_GB2312" w:cs="仿宋_GB2312"/>
          <w:sz w:val="32"/>
          <w:szCs w:val="32"/>
          <w:lang w:val="en-US" w:eastAsia="zh-CN"/>
        </w:rPr>
        <w:t>高炉低碳绿色智能化升级改造项目矿槽及槽前转运系统建安工程（二标段）（以下简称“工程项目”），为</w:t>
      </w:r>
      <w:r>
        <w:rPr>
          <w:rFonts w:hint="eastAsia" w:ascii="仿宋_GB2312" w:hAnsi="仿宋_GB2312" w:eastAsia="仿宋_GB2312" w:cs="仿宋_GB2312"/>
          <w:color w:val="auto"/>
          <w:sz w:val="32"/>
          <w:szCs w:val="32"/>
          <w:lang w:val="en-US" w:eastAsia="zh-CN"/>
        </w:rPr>
        <w:t>抚顺新钢铁有限责任公司新建工程项目，</w:t>
      </w:r>
      <w:r>
        <w:rPr>
          <w:rFonts w:hint="eastAsia" w:ascii="仿宋_GB2312" w:hAnsi="仿宋_GB2312" w:eastAsia="仿宋_GB2312" w:cs="仿宋_GB2312"/>
          <w:sz w:val="32"/>
          <w:szCs w:val="32"/>
          <w:lang w:val="en-US" w:eastAsia="zh-CN"/>
        </w:rPr>
        <w:t>通过集中化、精准化、环保化设计，主要解决原燃料输送与储存的衔接瓶颈，是新建高炉“精料入炉”的核心环节，为新建高炉高效低耗运行提供基础保障。</w:t>
      </w:r>
    </w:p>
    <w:p w14:paraId="5EA18189">
      <w:pPr>
        <w:keepNext w:val="0"/>
        <w:keepLines w:val="0"/>
        <w:pageBreakBefore w:val="0"/>
        <w:numPr>
          <w:ilvl w:val="0"/>
          <w:numId w:val="0"/>
        </w:numPr>
        <w:kinsoku/>
        <w:wordWrap/>
        <w:overflowPunct/>
        <w:topLinePunct w:val="0"/>
        <w:autoSpaceDE w:val="0"/>
        <w:autoSpaceDN w:val="0"/>
        <w:bidi w:val="0"/>
        <w:adjustRightInd w:val="0"/>
        <w:spacing w:line="560" w:lineRule="exact"/>
        <w:ind w:firstLine="643" w:firstLineChars="200"/>
        <w:textAlignment w:val="auto"/>
        <w:outlineLvl w:val="2"/>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2.工程项目承包</w:t>
      </w:r>
      <w:r>
        <w:rPr>
          <w:rFonts w:hint="eastAsia" w:ascii="仿宋_GB2312" w:hAnsi="仿宋_GB2312" w:eastAsia="仿宋_GB2312" w:cs="仿宋_GB2312"/>
          <w:b/>
          <w:sz w:val="32"/>
          <w:szCs w:val="32"/>
          <w:highlight w:val="none"/>
          <w:lang w:val="en-US" w:eastAsia="zh-CN"/>
        </w:rPr>
        <w:t>施工</w:t>
      </w:r>
      <w:r>
        <w:rPr>
          <w:rFonts w:hint="eastAsia" w:ascii="仿宋_GB2312" w:hAnsi="仿宋_GB2312" w:eastAsia="仿宋_GB2312" w:cs="仿宋_GB2312"/>
          <w:b/>
          <w:sz w:val="32"/>
          <w:szCs w:val="32"/>
          <w:highlight w:val="none"/>
        </w:rPr>
        <w:t>情况</w:t>
      </w:r>
    </w:p>
    <w:p w14:paraId="6526B241">
      <w:pPr>
        <w:keepNext w:val="0"/>
        <w:keepLines w:val="0"/>
        <w:pageBreakBefore w:val="0"/>
        <w:kinsoku/>
        <w:wordWrap/>
        <w:overflowPunct/>
        <w:topLinePunct w:val="0"/>
        <w:autoSpaceDE w:val="0"/>
        <w:bidi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发包方：抚顺新钢铁有限责任公司（以下简称“抚顺新钢铁公司”），承包方：中国二十二冶集团有限公司（以下简称“二十二冶集团”），双方于2025年5月9日签订了</w:t>
      </w:r>
      <w:r>
        <w:rPr>
          <w:rFonts w:hint="eastAsia" w:ascii="仿宋_GB2312" w:hAnsi="仿宋_GB2312" w:eastAsia="仿宋_GB2312" w:cs="仿宋_GB2312"/>
          <w:color w:val="auto"/>
          <w:sz w:val="32"/>
          <w:szCs w:val="32"/>
          <w:lang w:val="en-US" w:eastAsia="zh-CN"/>
        </w:rPr>
        <w:t>《高炉低碳绿色智能化升级改造项目矿槽及槽前转运系统建安工程（二标段）建设工程施工合同》（合同编号：150-V1-B-25-01-007-JG，以下简称《施工合同》），主要内容:高炉低碳绿色智能化升级改造项目矿槽及槽前转运系统建安工程（二标段）所涉及的工程全部工作内容（具体以发包方下发的施工图、经发包方确认的施工方案及工程量清单描述为准），合同计划施工工期：2025年5月15日至2026年9月27日。同时双方签订了《安全文明施工协议书》和《相关方安全协议书》。</w:t>
      </w:r>
    </w:p>
    <w:p w14:paraId="1BBAE4F7">
      <w:pPr>
        <w:keepNext w:val="0"/>
        <w:keepLines w:val="0"/>
        <w:pageBreakBefore w:val="0"/>
        <w:kinsoku/>
        <w:wordWrap/>
        <w:overflowPunct/>
        <w:topLinePunct w:val="0"/>
        <w:autoSpaceDE w:val="0"/>
        <w:bidi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十二冶集团承揽工程项目后，将工程项目交给其下属分公司中国二十二冶集团有限公司金属结构工程分公司（以下简称“二十二冶集团金结公司”）具体施工。中冶北方（大连）工程技术有限公司（以下简称“中冶北方大连公司”）为工程项目监理单位。</w:t>
      </w:r>
    </w:p>
    <w:p w14:paraId="5F8BAA74">
      <w:pPr>
        <w:keepNext w:val="0"/>
        <w:keepLines w:val="0"/>
        <w:pageBreakBefore w:val="0"/>
        <w:numPr>
          <w:ilvl w:val="0"/>
          <w:numId w:val="0"/>
        </w:numPr>
        <w:kinsoku/>
        <w:wordWrap/>
        <w:overflowPunct/>
        <w:topLinePunct w:val="0"/>
        <w:autoSpaceDE w:val="0"/>
        <w:autoSpaceDN w:val="0"/>
        <w:bidi w:val="0"/>
        <w:adjustRightInd w:val="0"/>
        <w:spacing w:line="560" w:lineRule="exact"/>
        <w:ind w:firstLine="643" w:firstLineChars="200"/>
        <w:textAlignment w:val="auto"/>
        <w:outlineLvl w:val="2"/>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sz w:val="32"/>
          <w:szCs w:val="32"/>
          <w:highlight w:val="none"/>
        </w:rPr>
        <w:t>3.工程项目分包情况</w:t>
      </w:r>
    </w:p>
    <w:p w14:paraId="6AC14974">
      <w:pPr>
        <w:keepNext w:val="0"/>
        <w:keepLines w:val="0"/>
        <w:pageBreakBefore w:val="0"/>
        <w:kinsoku/>
        <w:wordWrap/>
        <w:overflowPunct/>
        <w:topLinePunct w:val="0"/>
        <w:autoSpaceDE w:val="0"/>
        <w:bidi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工程承包人（甲方）：</w:t>
      </w:r>
      <w:r>
        <w:rPr>
          <w:rFonts w:hint="eastAsia" w:ascii="仿宋_GB2312" w:hAnsi="仿宋_GB2312" w:eastAsia="仿宋_GB2312" w:cs="仿宋_GB2312"/>
          <w:sz w:val="32"/>
          <w:szCs w:val="32"/>
          <w:highlight w:val="none"/>
          <w:lang w:val="en-US" w:eastAsia="zh-CN"/>
        </w:rPr>
        <w:t>中国二十二冶集团有限公司</w:t>
      </w:r>
      <w:r>
        <w:rPr>
          <w:rFonts w:hint="eastAsia" w:ascii="仿宋_GB2312" w:hAnsi="仿宋_GB2312" w:eastAsia="仿宋_GB2312" w:cs="仿宋_GB2312"/>
          <w:sz w:val="32"/>
          <w:szCs w:val="32"/>
          <w:lang w:val="en-US" w:eastAsia="zh-CN"/>
        </w:rPr>
        <w:t>，工程分包人（乙方）：四川共创遂发建筑工程有限公司（以下简称“四川共创公司”），双方签订了《高炉低碳绿色智能化升级改造项目矿槽及槽前转运系统土建工程施工专业分包合同》（合同编号：05GFGY2025015-05FG004号，以下简称《专业分包合同》），合同工期：2025年8月15日至2025年11月30日，分包范围及施工内容：1、2#高炉矿槽及槽前转运系统区域内的模板脚手架</w:t>
      </w:r>
      <w:r>
        <w:rPr>
          <w:rFonts w:hint="eastAsia" w:ascii="仿宋_GB2312" w:hAnsi="仿宋_GB2312" w:eastAsia="仿宋_GB2312" w:cs="仿宋_GB2312"/>
          <w:sz w:val="32"/>
          <w:szCs w:val="32"/>
          <w:highlight w:val="none"/>
          <w:lang w:val="en-US" w:eastAsia="zh-CN"/>
        </w:rPr>
        <w:t>等土建工程</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color w:val="auto"/>
          <w:sz w:val="32"/>
          <w:szCs w:val="32"/>
          <w:lang w:val="en-US" w:eastAsia="zh-CN"/>
        </w:rPr>
        <w:t>专业分包合同中第8.2.2条规定“乙方派驻本分包工程项目主要管理人员每周驻现场天数不得少于5天，每天不得少于8个小时。”同时双方签订了专业分包的《安全管理协议》。此外，双方还签订了劳务分包合同，四川共创公司在承担专业分包作业的同时还承担劳务作业内容。</w:t>
      </w:r>
    </w:p>
    <w:p w14:paraId="5D5F1ACD">
      <w:pPr>
        <w:keepNext w:val="0"/>
        <w:keepLines w:val="0"/>
        <w:pageBreakBefore w:val="0"/>
        <w:kinsoku/>
        <w:wordWrap/>
        <w:overflowPunct/>
        <w:topLinePunct w:val="0"/>
        <w:autoSpaceDE w:val="0"/>
        <w:autoSpaceDN w:val="0"/>
        <w:bidi w:val="0"/>
        <w:adjustRightInd w:val="0"/>
        <w:spacing w:line="560" w:lineRule="exact"/>
        <w:ind w:left="420"/>
        <w:textAlignment w:val="auto"/>
        <w:outlineLvl w:val="1"/>
        <w:rPr>
          <w:rFonts w:hint="eastAsia" w:ascii="楷体_GB2312" w:hAnsi="楷体_GB2312" w:eastAsia="楷体_GB2312" w:cs="楷体_GB2312"/>
          <w:b/>
          <w:sz w:val="32"/>
          <w:szCs w:val="32"/>
          <w:highlight w:val="none"/>
        </w:rPr>
      </w:pPr>
      <w:r>
        <w:rPr>
          <w:rFonts w:hint="eastAsia" w:ascii="楷体_GB2312" w:hAnsi="楷体_GB2312" w:eastAsia="楷体_GB2312" w:cs="楷体_GB2312"/>
          <w:b/>
          <w:sz w:val="32"/>
          <w:szCs w:val="32"/>
          <w:highlight w:val="none"/>
          <w:lang w:eastAsia="zh-CN"/>
        </w:rPr>
        <w:t>（</w:t>
      </w:r>
      <w:r>
        <w:rPr>
          <w:rFonts w:hint="eastAsia" w:ascii="楷体_GB2312" w:hAnsi="楷体_GB2312" w:eastAsia="楷体_GB2312" w:cs="楷体_GB2312"/>
          <w:b/>
          <w:sz w:val="32"/>
          <w:szCs w:val="32"/>
          <w:highlight w:val="none"/>
          <w:lang w:val="en-US" w:eastAsia="zh-CN"/>
        </w:rPr>
        <w:t>二</w:t>
      </w:r>
      <w:r>
        <w:rPr>
          <w:rFonts w:hint="eastAsia" w:ascii="楷体_GB2312" w:hAnsi="楷体_GB2312" w:eastAsia="楷体_GB2312" w:cs="楷体_GB2312"/>
          <w:b/>
          <w:sz w:val="32"/>
          <w:szCs w:val="32"/>
          <w:highlight w:val="none"/>
          <w:lang w:eastAsia="zh-CN"/>
        </w:rPr>
        <w:t>）</w:t>
      </w:r>
      <w:r>
        <w:rPr>
          <w:rFonts w:hint="eastAsia" w:ascii="楷体_GB2312" w:hAnsi="楷体_GB2312" w:eastAsia="楷体_GB2312" w:cs="楷体_GB2312"/>
          <w:b/>
          <w:sz w:val="32"/>
          <w:szCs w:val="32"/>
          <w:highlight w:val="none"/>
        </w:rPr>
        <w:t>有关单位概况</w:t>
      </w:r>
    </w:p>
    <w:p w14:paraId="7E55A9E1">
      <w:pPr>
        <w:keepNext w:val="0"/>
        <w:keepLines w:val="0"/>
        <w:pageBreakBefore w:val="0"/>
        <w:numPr>
          <w:ilvl w:val="0"/>
          <w:numId w:val="0"/>
        </w:numPr>
        <w:kinsoku/>
        <w:wordWrap/>
        <w:overflowPunct/>
        <w:topLinePunct w:val="0"/>
        <w:autoSpaceDE w:val="0"/>
        <w:autoSpaceDN w:val="0"/>
        <w:bidi w:val="0"/>
        <w:adjustRightInd w:val="0"/>
        <w:spacing w:line="560" w:lineRule="exact"/>
        <w:ind w:firstLine="643" w:firstLineChars="200"/>
        <w:textAlignment w:val="auto"/>
        <w:outlineLvl w:val="2"/>
        <w:rPr>
          <w:rFonts w:hint="default" w:ascii="仿宋_GB2312" w:hAnsi="仿宋_GB2312" w:eastAsia="仿宋_GB2312" w:cs="仿宋_GB2312"/>
          <w:b/>
          <w:sz w:val="32"/>
          <w:szCs w:val="32"/>
          <w:highlight w:val="none"/>
          <w:lang w:val="en-US" w:eastAsia="zh-CN"/>
        </w:rPr>
      </w:pPr>
      <w:r>
        <w:rPr>
          <w:rFonts w:hint="eastAsia" w:ascii="仿宋_GB2312" w:hAnsi="仿宋_GB2312" w:eastAsia="仿宋_GB2312" w:cs="仿宋_GB2312"/>
          <w:b/>
          <w:sz w:val="32"/>
          <w:szCs w:val="32"/>
          <w:highlight w:val="none"/>
          <w:lang w:val="en-US" w:eastAsia="zh-CN"/>
        </w:rPr>
        <w:t>1.四川共创公司</w:t>
      </w:r>
    </w:p>
    <w:p w14:paraId="3E27DAC6">
      <w:pPr>
        <w:keepNext w:val="0"/>
        <w:keepLines w:val="0"/>
        <w:pageBreakBefore w:val="0"/>
        <w:kinsoku/>
        <w:wordWrap/>
        <w:overflowPunct/>
        <w:topLinePunct w:val="0"/>
        <w:autoSpaceDE w:val="0"/>
        <w:autoSpaceDN w:val="0"/>
        <w:bidi w:val="0"/>
        <w:adjustRightInd w:val="0"/>
        <w:spacing w:line="560" w:lineRule="exact"/>
        <w:ind w:firstLine="640" w:firstLineChars="200"/>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rPr>
        <w:t>工程项目</w:t>
      </w:r>
      <w:r>
        <w:rPr>
          <w:rFonts w:hint="eastAsia" w:ascii="仿宋_GB2312" w:hAnsi="仿宋_GB2312" w:eastAsia="仿宋_GB2312" w:cs="仿宋_GB2312"/>
          <w:bCs/>
          <w:sz w:val="32"/>
          <w:szCs w:val="32"/>
          <w:lang w:val="en-US" w:eastAsia="zh-CN"/>
        </w:rPr>
        <w:t>专业</w:t>
      </w:r>
      <w:r>
        <w:rPr>
          <w:rFonts w:hint="eastAsia" w:ascii="仿宋_GB2312" w:hAnsi="仿宋_GB2312" w:eastAsia="仿宋_GB2312" w:cs="仿宋_GB2312"/>
          <w:bCs/>
          <w:sz w:val="32"/>
          <w:szCs w:val="32"/>
        </w:rPr>
        <w:t>分包</w:t>
      </w:r>
      <w:r>
        <w:rPr>
          <w:rFonts w:hint="eastAsia" w:ascii="仿宋_GB2312" w:hAnsi="仿宋_GB2312" w:eastAsia="仿宋_GB2312" w:cs="仿宋_GB2312"/>
          <w:bCs/>
          <w:sz w:val="32"/>
          <w:szCs w:val="32"/>
          <w:lang w:eastAsia="zh-CN"/>
        </w:rPr>
        <w:t>单位。</w:t>
      </w:r>
      <w:r>
        <w:rPr>
          <w:rFonts w:hint="eastAsia" w:ascii="仿宋_GB2312" w:hAnsi="仿宋_GB2312" w:eastAsia="仿宋_GB2312" w:cs="仿宋_GB2312"/>
          <w:bCs/>
          <w:sz w:val="32"/>
          <w:szCs w:val="32"/>
        </w:rPr>
        <w:t>公司统一社会信用代码：91</w:t>
      </w:r>
      <w:r>
        <w:rPr>
          <w:rFonts w:hint="eastAsia" w:ascii="仿宋_GB2312" w:hAnsi="仿宋_GB2312" w:eastAsia="仿宋_GB2312" w:cs="仿宋_GB2312"/>
          <w:bCs/>
          <w:sz w:val="32"/>
          <w:szCs w:val="32"/>
          <w:lang w:val="en-US" w:eastAsia="zh-CN"/>
        </w:rPr>
        <w:t>510900MA65KXXA3R</w:t>
      </w:r>
      <w:r>
        <w:rPr>
          <w:rFonts w:hint="eastAsia" w:ascii="仿宋_GB2312" w:hAnsi="仿宋_GB2312" w:eastAsia="仿宋_GB2312" w:cs="仿宋_GB2312"/>
          <w:bCs/>
          <w:sz w:val="32"/>
          <w:szCs w:val="32"/>
        </w:rPr>
        <w:t>，类型：有限责任公司（</w:t>
      </w:r>
      <w:r>
        <w:rPr>
          <w:rFonts w:hint="eastAsia" w:ascii="仿宋_GB2312" w:hAnsi="仿宋_GB2312" w:eastAsia="仿宋_GB2312" w:cs="仿宋_GB2312"/>
          <w:bCs/>
          <w:sz w:val="32"/>
          <w:szCs w:val="32"/>
          <w:lang w:val="en-US" w:eastAsia="zh-CN"/>
        </w:rPr>
        <w:t>自然人投资或控股</w:t>
      </w:r>
      <w:r>
        <w:rPr>
          <w:rFonts w:hint="eastAsia" w:ascii="仿宋_GB2312" w:hAnsi="仿宋_GB2312" w:eastAsia="仿宋_GB2312" w:cs="仿宋_GB2312"/>
          <w:bCs/>
          <w:sz w:val="32"/>
          <w:szCs w:val="32"/>
        </w:rPr>
        <w:t>），法定代表人：</w:t>
      </w:r>
      <w:r>
        <w:rPr>
          <w:rFonts w:hint="eastAsia" w:ascii="仿宋_GB2312" w:hAnsi="仿宋_GB2312" w:eastAsia="仿宋_GB2312" w:cs="仿宋_GB2312"/>
          <w:bCs/>
          <w:sz w:val="32"/>
          <w:szCs w:val="32"/>
          <w:lang w:val="en-US" w:eastAsia="zh-CN"/>
        </w:rPr>
        <w:t>陈明春</w:t>
      </w:r>
      <w:r>
        <w:rPr>
          <w:rFonts w:hint="eastAsia" w:ascii="仿宋_GB2312" w:hAnsi="仿宋_GB2312" w:eastAsia="仿宋_GB2312" w:cs="仿宋_GB2312"/>
          <w:bCs/>
          <w:sz w:val="32"/>
          <w:szCs w:val="32"/>
        </w:rPr>
        <w:t>，成立日期：20</w:t>
      </w:r>
      <w:r>
        <w:rPr>
          <w:rFonts w:hint="eastAsia" w:ascii="仿宋_GB2312" w:hAnsi="仿宋_GB2312" w:eastAsia="仿宋_GB2312" w:cs="仿宋_GB2312"/>
          <w:bCs/>
          <w:sz w:val="32"/>
          <w:szCs w:val="32"/>
          <w:lang w:val="en-US" w:eastAsia="zh-CN"/>
        </w:rPr>
        <w:t>18</w:t>
      </w:r>
      <w:r>
        <w:rPr>
          <w:rFonts w:hint="eastAsia" w:ascii="仿宋_GB2312" w:hAnsi="仿宋_GB2312" w:eastAsia="仿宋_GB2312" w:cs="仿宋_GB2312"/>
          <w:bCs/>
          <w:sz w:val="32"/>
          <w:szCs w:val="32"/>
        </w:rPr>
        <w:t>年</w:t>
      </w: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rPr>
        <w:t>月</w:t>
      </w:r>
      <w:r>
        <w:rPr>
          <w:rFonts w:hint="eastAsia" w:ascii="仿宋_GB2312" w:hAnsi="仿宋_GB2312" w:eastAsia="仿宋_GB2312" w:cs="仿宋_GB2312"/>
          <w:bCs/>
          <w:sz w:val="32"/>
          <w:szCs w:val="32"/>
          <w:lang w:val="en-US" w:eastAsia="zh-CN"/>
        </w:rPr>
        <w:t>12</w:t>
      </w:r>
      <w:r>
        <w:rPr>
          <w:rFonts w:hint="eastAsia" w:ascii="仿宋_GB2312" w:hAnsi="仿宋_GB2312" w:eastAsia="仿宋_GB2312" w:cs="仿宋_GB2312"/>
          <w:bCs/>
          <w:sz w:val="32"/>
          <w:szCs w:val="32"/>
        </w:rPr>
        <w:t>日，住所：</w:t>
      </w:r>
      <w:r>
        <w:rPr>
          <w:rFonts w:hint="eastAsia" w:ascii="仿宋_GB2312" w:hAnsi="仿宋_GB2312" w:eastAsia="仿宋_GB2312" w:cs="仿宋_GB2312"/>
          <w:bCs/>
          <w:sz w:val="32"/>
          <w:szCs w:val="32"/>
          <w:lang w:val="en-US" w:eastAsia="zh-CN"/>
        </w:rPr>
        <w:t>四川省遂宁市经济技术开发区渠河路阳春白雪综合楼2层1号，</w:t>
      </w:r>
      <w:r>
        <w:rPr>
          <w:rFonts w:hint="eastAsia" w:ascii="仿宋_GB2312" w:hAnsi="仿宋_GB2312" w:eastAsia="仿宋_GB2312" w:cs="仿宋_GB2312"/>
          <w:bCs/>
          <w:sz w:val="32"/>
          <w:szCs w:val="32"/>
        </w:rPr>
        <w:t>经营范围</w:t>
      </w:r>
      <w:r>
        <w:rPr>
          <w:rFonts w:hint="eastAsia" w:ascii="仿宋_GB2312" w:hAnsi="仿宋_GB2312" w:eastAsia="仿宋_GB2312" w:cs="仿宋_GB2312"/>
          <w:bCs/>
          <w:sz w:val="32"/>
          <w:szCs w:val="32"/>
          <w:lang w:val="en-US" w:eastAsia="zh-CN"/>
        </w:rPr>
        <w:t>许可项目：建筑劳务分包；施工专业作业；住宅室内装饰装修；电气安装服务；建设工程施工等。一般项目：土石方工程施工；园林绿化工程施工等。登记机关：遂宁经济开发区行政审批局。</w:t>
      </w:r>
    </w:p>
    <w:p w14:paraId="7FB95791">
      <w:pPr>
        <w:keepNext w:val="0"/>
        <w:keepLines w:val="0"/>
        <w:pageBreakBefore w:val="0"/>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sz w:val="32"/>
          <w:szCs w:val="32"/>
          <w:highlight w:val="none"/>
        </w:rPr>
        <w:t>建筑业企业资质证书编号：D</w:t>
      </w:r>
      <w:r>
        <w:rPr>
          <w:rFonts w:hint="eastAsia" w:ascii="仿宋_GB2312" w:hAnsi="仿宋_GB2312" w:eastAsia="仿宋_GB2312" w:cs="仿宋_GB2312"/>
          <w:bCs/>
          <w:sz w:val="32"/>
          <w:szCs w:val="32"/>
          <w:highlight w:val="none"/>
          <w:lang w:val="en-US" w:eastAsia="zh-CN"/>
        </w:rPr>
        <w:t>351793496</w:t>
      </w:r>
      <w:r>
        <w:rPr>
          <w:rFonts w:hint="eastAsia" w:ascii="仿宋_GB2312" w:hAnsi="仿宋_GB2312" w:eastAsia="仿宋_GB2312" w:cs="仿宋_GB2312"/>
          <w:bCs/>
          <w:sz w:val="32"/>
          <w:szCs w:val="32"/>
          <w:highlight w:val="none"/>
        </w:rPr>
        <w:t>，资质等级：</w:t>
      </w:r>
      <w:r>
        <w:rPr>
          <w:rFonts w:hint="eastAsia" w:ascii="仿宋_GB2312" w:hAnsi="仿宋_GB2312" w:eastAsia="仿宋_GB2312" w:cs="仿宋_GB2312"/>
          <w:bCs/>
          <w:sz w:val="32"/>
          <w:szCs w:val="32"/>
          <w:highlight w:val="none"/>
          <w:lang w:val="en-US" w:eastAsia="zh-CN"/>
        </w:rPr>
        <w:t>模板脚手架专业承包不分等级</w:t>
      </w:r>
      <w:r>
        <w:rPr>
          <w:rFonts w:hint="eastAsia" w:ascii="仿宋_GB2312" w:hAnsi="仿宋_GB2312" w:eastAsia="仿宋_GB2312" w:cs="仿宋_GB2312"/>
          <w:bCs/>
          <w:sz w:val="32"/>
          <w:szCs w:val="32"/>
          <w:highlight w:val="none"/>
        </w:rPr>
        <w:t>，有</w:t>
      </w:r>
      <w:r>
        <w:rPr>
          <w:rFonts w:hint="eastAsia" w:ascii="仿宋_GB2312" w:hAnsi="仿宋_GB2312" w:eastAsia="仿宋_GB2312" w:cs="仿宋_GB2312"/>
          <w:bCs/>
          <w:sz w:val="32"/>
          <w:szCs w:val="32"/>
          <w:highlight w:val="none"/>
          <w:lang w:val="en-US" w:eastAsia="zh-CN"/>
        </w:rPr>
        <w:t>效</w:t>
      </w:r>
      <w:r>
        <w:rPr>
          <w:rFonts w:hint="eastAsia" w:ascii="仿宋_GB2312" w:hAnsi="仿宋_GB2312" w:eastAsia="仿宋_GB2312" w:cs="仿宋_GB2312"/>
          <w:bCs/>
          <w:sz w:val="32"/>
          <w:szCs w:val="32"/>
          <w:highlight w:val="none"/>
        </w:rPr>
        <w:t>期</w:t>
      </w:r>
      <w:r>
        <w:rPr>
          <w:rFonts w:hint="eastAsia" w:ascii="仿宋_GB2312" w:hAnsi="仿宋_GB2312" w:eastAsia="仿宋_GB2312" w:cs="仿宋_GB2312"/>
          <w:bCs/>
          <w:sz w:val="32"/>
          <w:szCs w:val="32"/>
          <w:highlight w:val="none"/>
          <w:lang w:eastAsia="zh-CN"/>
        </w:rPr>
        <w:t>：至</w:t>
      </w:r>
      <w:r>
        <w:rPr>
          <w:rFonts w:hint="eastAsia" w:ascii="仿宋_GB2312" w:hAnsi="仿宋_GB2312" w:eastAsia="仿宋_GB2312" w:cs="仿宋_GB2312"/>
          <w:bCs/>
          <w:sz w:val="32"/>
          <w:szCs w:val="32"/>
          <w:highlight w:val="none"/>
        </w:rPr>
        <w:t>202</w:t>
      </w:r>
      <w:r>
        <w:rPr>
          <w:rFonts w:hint="eastAsia" w:ascii="仿宋_GB2312" w:hAnsi="仿宋_GB2312" w:eastAsia="仿宋_GB2312" w:cs="仿宋_GB2312"/>
          <w:bCs/>
          <w:sz w:val="32"/>
          <w:szCs w:val="32"/>
          <w:highlight w:val="none"/>
          <w:lang w:val="en-US" w:eastAsia="zh-CN"/>
        </w:rPr>
        <w:t>9</w:t>
      </w:r>
      <w:r>
        <w:rPr>
          <w:rFonts w:hint="eastAsia" w:ascii="仿宋_GB2312" w:hAnsi="仿宋_GB2312" w:eastAsia="仿宋_GB2312" w:cs="仿宋_GB2312"/>
          <w:bCs/>
          <w:sz w:val="32"/>
          <w:szCs w:val="32"/>
          <w:highlight w:val="none"/>
        </w:rPr>
        <w:t>年</w:t>
      </w:r>
      <w:r>
        <w:rPr>
          <w:rFonts w:hint="eastAsia" w:ascii="仿宋_GB2312" w:hAnsi="仿宋_GB2312" w:eastAsia="仿宋_GB2312" w:cs="仿宋_GB2312"/>
          <w:bCs/>
          <w:sz w:val="32"/>
          <w:szCs w:val="32"/>
          <w:highlight w:val="none"/>
          <w:lang w:val="en-US" w:eastAsia="zh-CN"/>
        </w:rPr>
        <w:t>12</w:t>
      </w:r>
      <w:r>
        <w:rPr>
          <w:rFonts w:hint="eastAsia" w:ascii="仿宋_GB2312" w:hAnsi="仿宋_GB2312" w:eastAsia="仿宋_GB2312" w:cs="仿宋_GB2312"/>
          <w:bCs/>
          <w:sz w:val="32"/>
          <w:szCs w:val="32"/>
          <w:highlight w:val="none"/>
        </w:rPr>
        <w:t>月2</w:t>
      </w:r>
      <w:r>
        <w:rPr>
          <w:rFonts w:hint="eastAsia" w:ascii="仿宋_GB2312" w:hAnsi="仿宋_GB2312" w:eastAsia="仿宋_GB2312" w:cs="仿宋_GB2312"/>
          <w:bCs/>
          <w:sz w:val="32"/>
          <w:szCs w:val="32"/>
          <w:highlight w:val="none"/>
          <w:lang w:val="en-US" w:eastAsia="zh-CN"/>
        </w:rPr>
        <w:t>6</w:t>
      </w:r>
      <w:r>
        <w:rPr>
          <w:rFonts w:hint="eastAsia" w:ascii="仿宋_GB2312" w:hAnsi="仿宋_GB2312" w:eastAsia="仿宋_GB2312" w:cs="仿宋_GB2312"/>
          <w:bCs/>
          <w:sz w:val="32"/>
          <w:szCs w:val="32"/>
          <w:highlight w:val="none"/>
        </w:rPr>
        <w:t>日</w:t>
      </w:r>
      <w:r>
        <w:rPr>
          <w:rFonts w:hint="eastAsia" w:ascii="仿宋_GB2312" w:hAnsi="仿宋_GB2312" w:eastAsia="仿宋_GB2312" w:cs="仿宋_GB2312"/>
          <w:bCs/>
          <w:sz w:val="32"/>
          <w:szCs w:val="32"/>
          <w:highlight w:val="none"/>
          <w:lang w:eastAsia="zh-CN"/>
        </w:rPr>
        <w:t>。</w:t>
      </w:r>
      <w:r>
        <w:rPr>
          <w:rFonts w:hint="eastAsia" w:ascii="仿宋_GB2312" w:hAnsi="仿宋_GB2312" w:eastAsia="仿宋_GB2312" w:cs="仿宋_GB2312"/>
          <w:bCs/>
          <w:color w:val="auto"/>
          <w:sz w:val="32"/>
          <w:szCs w:val="32"/>
          <w:highlight w:val="none"/>
          <w:lang w:eastAsia="zh-CN"/>
        </w:rPr>
        <w:t>发证机关：</w:t>
      </w:r>
      <w:r>
        <w:rPr>
          <w:rFonts w:hint="eastAsia" w:ascii="仿宋_GB2312" w:hAnsi="仿宋_GB2312" w:eastAsia="仿宋_GB2312" w:cs="仿宋_GB2312"/>
          <w:bCs/>
          <w:color w:val="auto"/>
          <w:sz w:val="32"/>
          <w:szCs w:val="32"/>
          <w:highlight w:val="none"/>
          <w:lang w:val="en-US" w:eastAsia="zh-CN"/>
        </w:rPr>
        <w:t>遂宁市住房和城乡建设局</w:t>
      </w:r>
      <w:r>
        <w:rPr>
          <w:rFonts w:hint="eastAsia" w:ascii="仿宋_GB2312" w:hAnsi="仿宋_GB2312" w:eastAsia="仿宋_GB2312" w:cs="仿宋_GB2312"/>
          <w:bCs/>
          <w:color w:val="auto"/>
          <w:sz w:val="32"/>
          <w:szCs w:val="32"/>
          <w:highlight w:val="none"/>
          <w:lang w:eastAsia="zh-CN"/>
        </w:rPr>
        <w:t>。</w:t>
      </w:r>
    </w:p>
    <w:p w14:paraId="7BCEBED8">
      <w:pPr>
        <w:keepNext w:val="0"/>
        <w:keepLines w:val="0"/>
        <w:pageBreakBefore w:val="0"/>
        <w:kinsoku/>
        <w:wordWrap/>
        <w:overflowPunct/>
        <w:topLinePunct w:val="0"/>
        <w:autoSpaceDE w:val="0"/>
        <w:autoSpaceDN w:val="0"/>
        <w:bidi w:val="0"/>
        <w:adjustRightInd w:val="0"/>
        <w:spacing w:line="560" w:lineRule="exact"/>
        <w:ind w:firstLine="640" w:firstLineChars="200"/>
        <w:textAlignment w:val="auto"/>
        <w:rPr>
          <w:rFonts w:hint="default" w:ascii="仿宋_GB2312" w:hAnsi="仿宋_GB2312" w:eastAsia="仿宋_GB2312" w:cs="仿宋_GB2312"/>
          <w:bCs/>
          <w:sz w:val="32"/>
          <w:szCs w:val="32"/>
          <w:highlight w:val="yellow"/>
          <w:lang w:val="en-US" w:eastAsia="zh-CN"/>
        </w:rPr>
      </w:pPr>
      <w:r>
        <w:rPr>
          <w:rFonts w:hint="eastAsia" w:ascii="仿宋_GB2312" w:hAnsi="仿宋_GB2312" w:eastAsia="仿宋_GB2312" w:cs="仿宋_GB2312"/>
          <w:bCs/>
          <w:sz w:val="32"/>
          <w:szCs w:val="32"/>
          <w:highlight w:val="none"/>
        </w:rPr>
        <w:t>建筑业企业资质证书编号：D</w:t>
      </w:r>
      <w:r>
        <w:rPr>
          <w:rFonts w:hint="eastAsia" w:ascii="仿宋_GB2312" w:hAnsi="仿宋_GB2312" w:eastAsia="仿宋_GB2312" w:cs="仿宋_GB2312"/>
          <w:bCs/>
          <w:sz w:val="32"/>
          <w:szCs w:val="32"/>
          <w:highlight w:val="none"/>
          <w:lang w:val="en-US" w:eastAsia="zh-CN"/>
        </w:rPr>
        <w:t>351U23151</w:t>
      </w:r>
      <w:r>
        <w:rPr>
          <w:rFonts w:hint="eastAsia" w:ascii="仿宋_GB2312" w:hAnsi="仿宋_GB2312" w:eastAsia="仿宋_GB2312" w:cs="仿宋_GB2312"/>
          <w:bCs/>
          <w:sz w:val="32"/>
          <w:szCs w:val="32"/>
          <w:highlight w:val="none"/>
        </w:rPr>
        <w:t>，资质等级：</w:t>
      </w:r>
      <w:r>
        <w:rPr>
          <w:rFonts w:hint="eastAsia" w:ascii="仿宋_GB2312" w:hAnsi="仿宋_GB2312" w:eastAsia="仿宋_GB2312" w:cs="仿宋_GB2312"/>
          <w:bCs/>
          <w:sz w:val="32"/>
          <w:szCs w:val="32"/>
          <w:highlight w:val="none"/>
          <w:lang w:val="en-US" w:eastAsia="zh-CN"/>
        </w:rPr>
        <w:t>施工劳务不分等级</w:t>
      </w:r>
      <w:r>
        <w:rPr>
          <w:rFonts w:hint="eastAsia" w:ascii="仿宋_GB2312" w:hAnsi="仿宋_GB2312" w:eastAsia="仿宋_GB2312" w:cs="仿宋_GB2312"/>
          <w:bCs/>
          <w:sz w:val="32"/>
          <w:szCs w:val="32"/>
          <w:highlight w:val="none"/>
        </w:rPr>
        <w:t>，有</w:t>
      </w:r>
      <w:r>
        <w:rPr>
          <w:rFonts w:hint="eastAsia" w:ascii="仿宋_GB2312" w:hAnsi="仿宋_GB2312" w:eastAsia="仿宋_GB2312" w:cs="仿宋_GB2312"/>
          <w:bCs/>
          <w:sz w:val="32"/>
          <w:szCs w:val="32"/>
          <w:highlight w:val="none"/>
          <w:lang w:val="en-US" w:eastAsia="zh-CN"/>
        </w:rPr>
        <w:t>效</w:t>
      </w:r>
      <w:r>
        <w:rPr>
          <w:rFonts w:hint="eastAsia" w:ascii="仿宋_GB2312" w:hAnsi="仿宋_GB2312" w:eastAsia="仿宋_GB2312" w:cs="仿宋_GB2312"/>
          <w:bCs/>
          <w:sz w:val="32"/>
          <w:szCs w:val="32"/>
          <w:highlight w:val="none"/>
        </w:rPr>
        <w:t>期</w:t>
      </w:r>
      <w:r>
        <w:rPr>
          <w:rFonts w:hint="eastAsia" w:ascii="仿宋_GB2312" w:hAnsi="仿宋_GB2312" w:eastAsia="仿宋_GB2312" w:cs="仿宋_GB2312"/>
          <w:bCs/>
          <w:sz w:val="32"/>
          <w:szCs w:val="32"/>
          <w:highlight w:val="none"/>
          <w:lang w:eastAsia="zh-CN"/>
        </w:rPr>
        <w:t>：至</w:t>
      </w:r>
      <w:r>
        <w:rPr>
          <w:rFonts w:hint="eastAsia" w:ascii="仿宋_GB2312" w:hAnsi="仿宋_GB2312" w:eastAsia="仿宋_GB2312" w:cs="仿宋_GB2312"/>
          <w:bCs/>
          <w:sz w:val="32"/>
          <w:szCs w:val="32"/>
          <w:highlight w:val="none"/>
        </w:rPr>
        <w:t>202</w:t>
      </w:r>
      <w:r>
        <w:rPr>
          <w:rFonts w:hint="eastAsia" w:ascii="仿宋_GB2312" w:hAnsi="仿宋_GB2312" w:eastAsia="仿宋_GB2312" w:cs="仿宋_GB2312"/>
          <w:bCs/>
          <w:sz w:val="32"/>
          <w:szCs w:val="32"/>
          <w:highlight w:val="none"/>
          <w:lang w:val="en-US" w:eastAsia="zh-CN"/>
        </w:rPr>
        <w:t>8</w:t>
      </w:r>
      <w:r>
        <w:rPr>
          <w:rFonts w:hint="eastAsia" w:ascii="仿宋_GB2312" w:hAnsi="仿宋_GB2312" w:eastAsia="仿宋_GB2312" w:cs="仿宋_GB2312"/>
          <w:bCs/>
          <w:sz w:val="32"/>
          <w:szCs w:val="32"/>
          <w:highlight w:val="none"/>
        </w:rPr>
        <w:t>年</w:t>
      </w:r>
      <w:r>
        <w:rPr>
          <w:rFonts w:hint="eastAsia" w:ascii="仿宋_GB2312" w:hAnsi="仿宋_GB2312" w:eastAsia="仿宋_GB2312" w:cs="仿宋_GB2312"/>
          <w:bCs/>
          <w:sz w:val="32"/>
          <w:szCs w:val="32"/>
          <w:highlight w:val="none"/>
          <w:lang w:val="en-US" w:eastAsia="zh-CN"/>
        </w:rPr>
        <w:t>4</w:t>
      </w:r>
      <w:r>
        <w:rPr>
          <w:rFonts w:hint="eastAsia" w:ascii="仿宋_GB2312" w:hAnsi="仿宋_GB2312" w:eastAsia="仿宋_GB2312" w:cs="仿宋_GB2312"/>
          <w:bCs/>
          <w:sz w:val="32"/>
          <w:szCs w:val="32"/>
          <w:highlight w:val="none"/>
        </w:rPr>
        <w:t>月</w:t>
      </w:r>
      <w:r>
        <w:rPr>
          <w:rFonts w:hint="eastAsia" w:ascii="仿宋_GB2312" w:hAnsi="仿宋_GB2312" w:eastAsia="仿宋_GB2312" w:cs="仿宋_GB2312"/>
          <w:bCs/>
          <w:sz w:val="32"/>
          <w:szCs w:val="32"/>
          <w:highlight w:val="none"/>
          <w:lang w:val="en-US" w:eastAsia="zh-CN"/>
        </w:rPr>
        <w:t>17</w:t>
      </w:r>
      <w:r>
        <w:rPr>
          <w:rFonts w:hint="eastAsia" w:ascii="仿宋_GB2312" w:hAnsi="仿宋_GB2312" w:eastAsia="仿宋_GB2312" w:cs="仿宋_GB2312"/>
          <w:bCs/>
          <w:sz w:val="32"/>
          <w:szCs w:val="32"/>
          <w:highlight w:val="none"/>
        </w:rPr>
        <w:t>日</w:t>
      </w:r>
      <w:r>
        <w:rPr>
          <w:rFonts w:hint="eastAsia" w:ascii="仿宋_GB2312" w:hAnsi="仿宋_GB2312" w:eastAsia="仿宋_GB2312" w:cs="仿宋_GB2312"/>
          <w:bCs/>
          <w:sz w:val="32"/>
          <w:szCs w:val="32"/>
          <w:highlight w:val="none"/>
          <w:lang w:eastAsia="zh-CN"/>
        </w:rPr>
        <w:t>。</w:t>
      </w:r>
      <w:r>
        <w:rPr>
          <w:rFonts w:hint="eastAsia" w:ascii="仿宋_GB2312" w:hAnsi="仿宋_GB2312" w:eastAsia="仿宋_GB2312" w:cs="仿宋_GB2312"/>
          <w:bCs/>
          <w:sz w:val="32"/>
          <w:szCs w:val="32"/>
          <w:highlight w:val="none"/>
          <w:lang w:val="en-US" w:eastAsia="zh-CN"/>
        </w:rPr>
        <w:t>发证机关：遂宁市住房和城乡建设局。</w:t>
      </w:r>
    </w:p>
    <w:p w14:paraId="4B4FFC45">
      <w:pPr>
        <w:keepNext w:val="0"/>
        <w:keepLines w:val="0"/>
        <w:pageBreakBefore w:val="0"/>
        <w:kinsoku/>
        <w:wordWrap/>
        <w:overflowPunct/>
        <w:topLinePunct w:val="0"/>
        <w:autoSpaceDE w:val="0"/>
        <w:autoSpaceDN w:val="0"/>
        <w:bidi w:val="0"/>
        <w:adjustRightInd w:val="0"/>
        <w:spacing w:line="560" w:lineRule="exact"/>
        <w:ind w:firstLine="640" w:firstLineChars="200"/>
        <w:textAlignment w:val="auto"/>
        <w:rPr>
          <w:rFonts w:hint="default"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rPr>
        <w:t>安全生产许可证</w:t>
      </w:r>
      <w:r>
        <w:rPr>
          <w:rFonts w:hint="eastAsia" w:ascii="仿宋_GB2312" w:hAnsi="仿宋_GB2312" w:eastAsia="仿宋_GB2312" w:cs="仿宋_GB2312"/>
          <w:bCs/>
          <w:sz w:val="32"/>
          <w:szCs w:val="32"/>
          <w:highlight w:val="none"/>
          <w:lang w:eastAsia="zh-CN"/>
        </w:rPr>
        <w:t>书</w:t>
      </w:r>
      <w:r>
        <w:rPr>
          <w:rFonts w:hint="eastAsia" w:ascii="仿宋_GB2312" w:hAnsi="仿宋_GB2312" w:eastAsia="仿宋_GB2312" w:cs="仿宋_GB2312"/>
          <w:bCs/>
          <w:sz w:val="32"/>
          <w:szCs w:val="32"/>
          <w:highlight w:val="none"/>
        </w:rPr>
        <w:t>编号</w:t>
      </w:r>
      <w:r>
        <w:rPr>
          <w:rFonts w:hint="eastAsia" w:ascii="仿宋_GB2312" w:hAnsi="仿宋_GB2312" w:eastAsia="仿宋_GB2312" w:cs="仿宋_GB2312"/>
          <w:bCs/>
          <w:sz w:val="32"/>
          <w:szCs w:val="32"/>
          <w:highlight w:val="none"/>
          <w:lang w:eastAsia="zh-CN"/>
        </w:rPr>
        <w:t>：</w:t>
      </w:r>
      <w:r>
        <w:rPr>
          <w:rFonts w:hint="eastAsia" w:ascii="仿宋_GB2312" w:hAnsi="仿宋_GB2312" w:eastAsia="仿宋_GB2312" w:cs="仿宋_GB2312"/>
          <w:bCs/>
          <w:sz w:val="32"/>
          <w:szCs w:val="32"/>
          <w:highlight w:val="none"/>
        </w:rPr>
        <w:t>（</w:t>
      </w:r>
      <w:r>
        <w:rPr>
          <w:rFonts w:hint="eastAsia" w:ascii="仿宋_GB2312" w:hAnsi="仿宋_GB2312" w:eastAsia="仿宋_GB2312" w:cs="仿宋_GB2312"/>
          <w:bCs/>
          <w:sz w:val="32"/>
          <w:szCs w:val="32"/>
          <w:highlight w:val="none"/>
          <w:lang w:val="en-US" w:eastAsia="zh-CN"/>
        </w:rPr>
        <w:t>川</w:t>
      </w:r>
      <w:r>
        <w:rPr>
          <w:rFonts w:hint="eastAsia" w:ascii="仿宋_GB2312" w:hAnsi="仿宋_GB2312" w:eastAsia="仿宋_GB2312" w:cs="仿宋_GB2312"/>
          <w:bCs/>
          <w:sz w:val="32"/>
          <w:szCs w:val="32"/>
          <w:highlight w:val="none"/>
        </w:rPr>
        <w:t>）JZ安许证字[20</w:t>
      </w:r>
      <w:r>
        <w:rPr>
          <w:rFonts w:hint="eastAsia" w:ascii="仿宋_GB2312" w:hAnsi="仿宋_GB2312" w:eastAsia="仿宋_GB2312" w:cs="仿宋_GB2312"/>
          <w:bCs/>
          <w:sz w:val="32"/>
          <w:szCs w:val="32"/>
          <w:highlight w:val="none"/>
          <w:lang w:val="en-US" w:eastAsia="zh-CN"/>
        </w:rPr>
        <w:t>18</w:t>
      </w:r>
      <w:r>
        <w:rPr>
          <w:rFonts w:hint="eastAsia" w:ascii="仿宋_GB2312" w:hAnsi="仿宋_GB2312" w:eastAsia="仿宋_GB2312" w:cs="仿宋_GB2312"/>
          <w:bCs/>
          <w:sz w:val="32"/>
          <w:szCs w:val="32"/>
          <w:highlight w:val="none"/>
        </w:rPr>
        <w:t>]0</w:t>
      </w:r>
      <w:r>
        <w:rPr>
          <w:rFonts w:hint="eastAsia" w:ascii="仿宋_GB2312" w:hAnsi="仿宋_GB2312" w:eastAsia="仿宋_GB2312" w:cs="仿宋_GB2312"/>
          <w:bCs/>
          <w:sz w:val="32"/>
          <w:szCs w:val="32"/>
          <w:highlight w:val="none"/>
          <w:lang w:val="en-US" w:eastAsia="zh-CN"/>
        </w:rPr>
        <w:t>07391</w:t>
      </w:r>
      <w:r>
        <w:rPr>
          <w:rFonts w:hint="eastAsia" w:ascii="仿宋_GB2312" w:hAnsi="仿宋_GB2312" w:eastAsia="仿宋_GB2312" w:cs="仿宋_GB2312"/>
          <w:bCs/>
          <w:sz w:val="32"/>
          <w:szCs w:val="32"/>
          <w:highlight w:val="none"/>
        </w:rPr>
        <w:t>,许可范围：建筑施工，有效期：2024年</w:t>
      </w:r>
      <w:r>
        <w:rPr>
          <w:rFonts w:hint="eastAsia" w:ascii="仿宋_GB2312" w:hAnsi="仿宋_GB2312" w:eastAsia="仿宋_GB2312" w:cs="仿宋_GB2312"/>
          <w:bCs/>
          <w:sz w:val="32"/>
          <w:szCs w:val="32"/>
          <w:highlight w:val="none"/>
          <w:lang w:val="en-US" w:eastAsia="zh-CN"/>
        </w:rPr>
        <w:t>8</w:t>
      </w:r>
      <w:r>
        <w:rPr>
          <w:rFonts w:hint="eastAsia" w:ascii="仿宋_GB2312" w:hAnsi="仿宋_GB2312" w:eastAsia="仿宋_GB2312" w:cs="仿宋_GB2312"/>
          <w:bCs/>
          <w:sz w:val="32"/>
          <w:szCs w:val="32"/>
          <w:highlight w:val="none"/>
        </w:rPr>
        <w:t>月</w:t>
      </w:r>
      <w:r>
        <w:rPr>
          <w:rFonts w:hint="eastAsia" w:ascii="仿宋_GB2312" w:hAnsi="仿宋_GB2312" w:eastAsia="仿宋_GB2312" w:cs="仿宋_GB2312"/>
          <w:bCs/>
          <w:sz w:val="32"/>
          <w:szCs w:val="32"/>
          <w:highlight w:val="none"/>
          <w:lang w:val="en-US" w:eastAsia="zh-CN"/>
        </w:rPr>
        <w:t>27</w:t>
      </w:r>
      <w:r>
        <w:rPr>
          <w:rFonts w:hint="eastAsia" w:ascii="仿宋_GB2312" w:hAnsi="仿宋_GB2312" w:eastAsia="仿宋_GB2312" w:cs="仿宋_GB2312"/>
          <w:bCs/>
          <w:sz w:val="32"/>
          <w:szCs w:val="32"/>
          <w:highlight w:val="none"/>
        </w:rPr>
        <w:t>日至2027年</w:t>
      </w:r>
      <w:r>
        <w:rPr>
          <w:rFonts w:hint="eastAsia" w:ascii="仿宋_GB2312" w:hAnsi="仿宋_GB2312" w:eastAsia="仿宋_GB2312" w:cs="仿宋_GB2312"/>
          <w:bCs/>
          <w:sz w:val="32"/>
          <w:szCs w:val="32"/>
          <w:highlight w:val="none"/>
          <w:lang w:val="en-US" w:eastAsia="zh-CN"/>
        </w:rPr>
        <w:t>8</w:t>
      </w:r>
      <w:r>
        <w:rPr>
          <w:rFonts w:hint="eastAsia" w:ascii="仿宋_GB2312" w:hAnsi="仿宋_GB2312" w:eastAsia="仿宋_GB2312" w:cs="仿宋_GB2312"/>
          <w:bCs/>
          <w:sz w:val="32"/>
          <w:szCs w:val="32"/>
          <w:highlight w:val="none"/>
        </w:rPr>
        <w:t>月</w:t>
      </w:r>
      <w:r>
        <w:rPr>
          <w:rFonts w:hint="eastAsia" w:ascii="仿宋_GB2312" w:hAnsi="仿宋_GB2312" w:eastAsia="仿宋_GB2312" w:cs="仿宋_GB2312"/>
          <w:bCs/>
          <w:sz w:val="32"/>
          <w:szCs w:val="32"/>
          <w:highlight w:val="none"/>
          <w:lang w:val="en-US" w:eastAsia="zh-CN"/>
        </w:rPr>
        <w:t>27</w:t>
      </w:r>
      <w:r>
        <w:rPr>
          <w:rFonts w:hint="eastAsia" w:ascii="仿宋_GB2312" w:hAnsi="仿宋_GB2312" w:eastAsia="仿宋_GB2312" w:cs="仿宋_GB2312"/>
          <w:bCs/>
          <w:sz w:val="32"/>
          <w:szCs w:val="32"/>
          <w:highlight w:val="none"/>
        </w:rPr>
        <w:t>日。</w:t>
      </w:r>
      <w:r>
        <w:rPr>
          <w:rFonts w:hint="eastAsia" w:ascii="仿宋_GB2312" w:hAnsi="仿宋_GB2312" w:eastAsia="仿宋_GB2312" w:cs="仿宋_GB2312"/>
          <w:bCs/>
          <w:sz w:val="32"/>
          <w:szCs w:val="32"/>
          <w:highlight w:val="none"/>
          <w:lang w:val="en-US" w:eastAsia="zh-CN"/>
        </w:rPr>
        <w:t>发证机关：四川省住房和城乡建设厅。</w:t>
      </w:r>
    </w:p>
    <w:p w14:paraId="1338689D">
      <w:pPr>
        <w:keepNext w:val="0"/>
        <w:keepLines w:val="0"/>
        <w:pageBreakBefore w:val="0"/>
        <w:kinsoku/>
        <w:wordWrap/>
        <w:overflowPunct/>
        <w:topLinePunct w:val="0"/>
        <w:autoSpaceDE w:val="0"/>
        <w:bidi w:val="0"/>
        <w:snapToGrid w:val="0"/>
        <w:spacing w:line="560" w:lineRule="exact"/>
        <w:ind w:firstLine="640" w:firstLineChars="200"/>
        <w:textAlignment w:val="auto"/>
        <w:rPr>
          <w:rFonts w:hint="default" w:ascii="仿宋_GB2312" w:hAnsi="仿宋_GB2312" w:eastAsia="仿宋_GB2312" w:cs="仿宋_GB2312"/>
          <w:bCs/>
          <w:color w:val="auto"/>
          <w:sz w:val="32"/>
          <w:szCs w:val="32"/>
          <w:highlight w:val="yellow"/>
          <w:u w:val="none"/>
          <w:lang w:val="en-US" w:eastAsia="zh-CN"/>
        </w:rPr>
      </w:pPr>
      <w:r>
        <w:rPr>
          <w:rFonts w:hint="eastAsia" w:ascii="仿宋_GB2312" w:hAnsi="仿宋_GB2312" w:eastAsia="仿宋_GB2312" w:cs="仿宋_GB2312"/>
          <w:bCs/>
          <w:color w:val="auto"/>
          <w:sz w:val="32"/>
          <w:szCs w:val="32"/>
          <w:highlight w:val="none"/>
          <w:u w:val="none"/>
          <w:lang w:val="en-US" w:eastAsia="zh-CN"/>
        </w:rPr>
        <w:t>专业分包项目部项目经理为张富生（项目经理资格齐全且在有效期内），事发时未在现场履职，现场由工程经理胡学海实际负责，总工程师李碧娟事发时请假，安全员为吴鸣宇（安全生产</w:t>
      </w:r>
      <w:r>
        <w:rPr>
          <w:rFonts w:hint="eastAsia" w:ascii="仿宋_GB2312" w:hAnsi="仿宋_GB2312" w:eastAsia="仿宋_GB2312" w:cs="仿宋_GB2312"/>
          <w:bCs/>
          <w:sz w:val="32"/>
          <w:szCs w:val="32"/>
          <w:highlight w:val="none"/>
          <w:lang w:val="en-US" w:eastAsia="zh-CN"/>
        </w:rPr>
        <w:t>有关资格齐全且在有效期内</w:t>
      </w:r>
      <w:r>
        <w:rPr>
          <w:rFonts w:hint="eastAsia" w:ascii="仿宋_GB2312" w:hAnsi="仿宋_GB2312" w:eastAsia="仿宋_GB2312" w:cs="仿宋_GB2312"/>
          <w:bCs/>
          <w:color w:val="auto"/>
          <w:sz w:val="32"/>
          <w:szCs w:val="32"/>
          <w:highlight w:val="none"/>
          <w:u w:val="none"/>
          <w:lang w:val="en-US" w:eastAsia="zh-CN"/>
        </w:rPr>
        <w:t>）。</w:t>
      </w:r>
    </w:p>
    <w:p w14:paraId="21961A92">
      <w:pPr>
        <w:keepNext w:val="0"/>
        <w:keepLines w:val="0"/>
        <w:pageBreakBefore w:val="0"/>
        <w:numPr>
          <w:ilvl w:val="0"/>
          <w:numId w:val="0"/>
        </w:numPr>
        <w:kinsoku/>
        <w:wordWrap/>
        <w:overflowPunct/>
        <w:topLinePunct w:val="0"/>
        <w:autoSpaceDE w:val="0"/>
        <w:autoSpaceDN w:val="0"/>
        <w:bidi w:val="0"/>
        <w:adjustRightInd w:val="0"/>
        <w:spacing w:line="560" w:lineRule="exact"/>
        <w:ind w:firstLine="643" w:firstLineChars="200"/>
        <w:textAlignment w:val="auto"/>
        <w:outlineLvl w:val="2"/>
        <w:rPr>
          <w:rFonts w:hint="default" w:ascii="仿宋_GB2312" w:hAnsi="仿宋_GB2312" w:eastAsia="仿宋_GB2312" w:cs="仿宋_GB2312"/>
          <w:b/>
          <w:sz w:val="32"/>
          <w:szCs w:val="32"/>
          <w:highlight w:val="none"/>
          <w:lang w:val="en-US" w:eastAsia="zh-CN"/>
        </w:rPr>
      </w:pPr>
      <w:r>
        <w:rPr>
          <w:rFonts w:hint="eastAsia" w:ascii="仿宋_GB2312" w:hAnsi="仿宋_GB2312" w:eastAsia="仿宋_GB2312" w:cs="仿宋_GB2312"/>
          <w:b/>
          <w:sz w:val="32"/>
          <w:szCs w:val="32"/>
          <w:highlight w:val="none"/>
          <w:lang w:val="en-US" w:eastAsia="zh-CN"/>
        </w:rPr>
        <w:t>2.二十二冶集团金结公司</w:t>
      </w:r>
    </w:p>
    <w:p w14:paraId="7E22EBB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工程项目施工承包单位。</w:t>
      </w:r>
      <w:r>
        <w:rPr>
          <w:rFonts w:hint="eastAsia" w:ascii="仿宋" w:hAnsi="仿宋" w:eastAsia="仿宋" w:cs="仿宋"/>
          <w:b w:val="0"/>
          <w:bCs w:val="0"/>
          <w:sz w:val="32"/>
          <w:szCs w:val="32"/>
          <w:lang w:val="en-US" w:eastAsia="zh-CN"/>
        </w:rPr>
        <w:t>公司统一</w:t>
      </w:r>
      <w:r>
        <w:rPr>
          <w:rFonts w:hint="eastAsia" w:ascii="仿宋" w:hAnsi="仿宋" w:eastAsia="仿宋" w:cs="仿宋"/>
          <w:sz w:val="32"/>
          <w:szCs w:val="32"/>
          <w:lang w:val="en-US" w:eastAsia="zh-CN"/>
        </w:rPr>
        <w:t>社会信用代码：91130200669073287E，负责人：王夺，类型：其他有限责任公司分公司，成立日期：2007年11月20日，经营住所：唐山丰润区厂前路东102国道北，经营范围许可项目：为本公司承揽业务提供相关服务。登记机关：唐山市行政审批局。</w:t>
      </w:r>
      <w:r>
        <w:rPr>
          <w:rFonts w:hint="eastAsia" w:ascii="仿宋" w:hAnsi="仿宋" w:eastAsia="仿宋" w:cs="仿宋"/>
          <w:sz w:val="32"/>
          <w:szCs w:val="32"/>
          <w:highlight w:val="none"/>
          <w:lang w:val="en-US" w:eastAsia="zh-CN"/>
        </w:rPr>
        <w:t>其上级公司</w:t>
      </w:r>
      <w:r>
        <w:rPr>
          <w:rFonts w:hint="eastAsia" w:ascii="仿宋" w:hAnsi="仿宋" w:eastAsia="仿宋" w:cs="仿宋"/>
          <w:sz w:val="32"/>
          <w:szCs w:val="32"/>
          <w:lang w:val="en-US" w:eastAsia="zh-CN"/>
        </w:rPr>
        <w:t>安全生产许可证、建筑业企业资质证齐全且在有效期内。</w:t>
      </w:r>
    </w:p>
    <w:p w14:paraId="6ECB0405">
      <w:pPr>
        <w:pStyle w:val="2"/>
        <w:keepNext w:val="0"/>
        <w:keepLines w:val="0"/>
        <w:pageBreakBefore w:val="0"/>
        <w:kinsoku/>
        <w:wordWrap/>
        <w:overflowPunct/>
        <w:topLinePunct w:val="0"/>
        <w:bidi w:val="0"/>
        <w:spacing w:line="560" w:lineRule="exact"/>
        <w:ind w:firstLine="640" w:firstLineChars="200"/>
        <w:jc w:val="both"/>
        <w:textAlignment w:val="auto"/>
        <w:rPr>
          <w:rFonts w:hint="default" w:ascii="仿宋" w:hAnsi="仿宋" w:eastAsia="仿宋" w:cs="仿宋"/>
          <w:bCs/>
          <w:sz w:val="32"/>
          <w:szCs w:val="32"/>
          <w:highlight w:val="none"/>
          <w:lang w:val="en-US" w:eastAsia="zh-CN"/>
        </w:rPr>
      </w:pPr>
      <w:r>
        <w:rPr>
          <w:rFonts w:hint="eastAsia" w:ascii="仿宋_GB2312" w:hAnsi="仿宋_GB2312" w:eastAsia="仿宋_GB2312" w:cs="仿宋_GB2312"/>
          <w:kern w:val="2"/>
          <w:sz w:val="32"/>
          <w:szCs w:val="32"/>
          <w:lang w:val="en-US" w:eastAsia="zh-CN" w:bidi="ar-SA"/>
        </w:rPr>
        <w:t>二十二冶集团承揽工程项目后，成立了中国二十二冶集团有限公司抚顺新钢铁矿槽及槽前转运系统工程项目经理部（以下简</w:t>
      </w:r>
      <w:r>
        <w:rPr>
          <w:rFonts w:hint="eastAsia" w:ascii="仿宋_GB2312" w:hAnsi="仿宋_GB2312" w:eastAsia="仿宋_GB2312" w:cs="仿宋_GB2312"/>
          <w:color w:val="auto"/>
          <w:kern w:val="2"/>
          <w:sz w:val="32"/>
          <w:szCs w:val="32"/>
          <w:lang w:val="en-US" w:eastAsia="zh-CN" w:bidi="ar-SA"/>
        </w:rPr>
        <w:t>称“总承包项目部”</w:t>
      </w:r>
      <w:r>
        <w:rPr>
          <w:rFonts w:hint="eastAsia"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sz w:val="32"/>
          <w:szCs w:val="32"/>
          <w:lang w:val="en-US" w:eastAsia="zh-CN"/>
        </w:rPr>
        <w:t>二十二冶集团金结公司具体组织施工，</w:t>
      </w:r>
      <w:r>
        <w:rPr>
          <w:rFonts w:hint="eastAsia" w:ascii="仿宋_GB2312" w:hAnsi="仿宋_GB2312" w:eastAsia="仿宋_GB2312" w:cs="仿宋_GB2312"/>
          <w:kern w:val="2"/>
          <w:sz w:val="32"/>
          <w:szCs w:val="32"/>
          <w:lang w:val="en-US" w:eastAsia="zh-CN" w:bidi="ar-SA"/>
        </w:rPr>
        <w:t>任命史先觉为项目经理（项目经理资格齐全且在有效期内），总承包项目部除项目经理外，分设</w:t>
      </w:r>
      <w:r>
        <w:rPr>
          <w:rFonts w:hint="eastAsia" w:ascii="仿宋_GB2312" w:hAnsi="仿宋_GB2312" w:eastAsia="仿宋_GB2312" w:cs="仿宋_GB2312"/>
          <w:color w:val="auto"/>
          <w:kern w:val="2"/>
          <w:sz w:val="32"/>
          <w:szCs w:val="32"/>
          <w:lang w:val="en-US" w:eastAsia="zh-CN" w:bidi="ar-SA"/>
        </w:rPr>
        <w:t>了执行经理（刘占国）、总工程师、商务经理、工程经理，下设工程管理部、</w:t>
      </w:r>
      <w:r>
        <w:rPr>
          <w:rFonts w:hint="eastAsia" w:ascii="仿宋_GB2312" w:hAnsi="仿宋_GB2312" w:eastAsia="仿宋_GB2312" w:cs="仿宋_GB2312"/>
          <w:kern w:val="2"/>
          <w:sz w:val="32"/>
          <w:szCs w:val="32"/>
          <w:lang w:val="en-US" w:eastAsia="zh-CN" w:bidi="ar-SA"/>
        </w:rPr>
        <w:t>技术管理部、物资管理部、财务管理部、安全监督部（鲍晨为部长，安全生产资格齐全且在有效期内）</w:t>
      </w:r>
      <w:r>
        <w:rPr>
          <w:rFonts w:hint="eastAsia" w:ascii="仿宋_GB2312" w:hAnsi="仿宋_GB2312" w:eastAsia="仿宋_GB2312" w:cs="仿宋_GB2312"/>
          <w:bCs/>
          <w:sz w:val="32"/>
          <w:szCs w:val="32"/>
          <w:highlight w:val="none"/>
          <w:lang w:val="en-US" w:eastAsia="zh-CN"/>
        </w:rPr>
        <w:t>。</w:t>
      </w:r>
    </w:p>
    <w:p w14:paraId="0FFBDA4E">
      <w:pPr>
        <w:keepNext w:val="0"/>
        <w:keepLines w:val="0"/>
        <w:pageBreakBefore w:val="0"/>
        <w:numPr>
          <w:ilvl w:val="0"/>
          <w:numId w:val="0"/>
        </w:numPr>
        <w:kinsoku/>
        <w:wordWrap/>
        <w:overflowPunct/>
        <w:topLinePunct w:val="0"/>
        <w:autoSpaceDE w:val="0"/>
        <w:autoSpaceDN w:val="0"/>
        <w:bidi w:val="0"/>
        <w:adjustRightInd w:val="0"/>
        <w:spacing w:line="560" w:lineRule="exact"/>
        <w:ind w:firstLine="643" w:firstLineChars="200"/>
        <w:textAlignment w:val="auto"/>
        <w:outlineLvl w:val="2"/>
        <w:rPr>
          <w:rFonts w:hint="default" w:ascii="仿宋_GB2312" w:hAnsi="仿宋_GB2312" w:eastAsia="仿宋_GB2312" w:cs="仿宋_GB2312"/>
          <w:b/>
          <w:sz w:val="32"/>
          <w:szCs w:val="32"/>
          <w:highlight w:val="none"/>
          <w:lang w:val="en-US" w:eastAsia="zh-CN"/>
        </w:rPr>
      </w:pPr>
      <w:r>
        <w:rPr>
          <w:rFonts w:hint="eastAsia" w:ascii="仿宋_GB2312" w:hAnsi="仿宋_GB2312" w:eastAsia="仿宋_GB2312" w:cs="仿宋_GB2312"/>
          <w:b/>
          <w:sz w:val="32"/>
          <w:szCs w:val="32"/>
          <w:highlight w:val="none"/>
          <w:lang w:val="en-US" w:eastAsia="zh-CN"/>
        </w:rPr>
        <w:t>3.抚顺新钢铁公司</w:t>
      </w:r>
    </w:p>
    <w:p w14:paraId="0B75BF63">
      <w:pPr>
        <w:pStyle w:val="2"/>
        <w:keepNext w:val="0"/>
        <w:keepLines w:val="0"/>
        <w:pageBreakBefore w:val="0"/>
        <w:kinsoku/>
        <w:wordWrap/>
        <w:overflowPunct/>
        <w:topLinePunct w:val="0"/>
        <w:bidi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工程项目建设发包单位。公司统一社会信用代码:912104007777942682，类型：有限责任公司，成立日期：2005年10月12日，经营范围一般项目：钢铁冶炼及压延加工；机械配件、钢铁铸件、冶金产品及钢铁副产品、钢铁延伸产品制造、销售等。登记机关：抚顺市望花区市场监督管理局。</w:t>
      </w:r>
    </w:p>
    <w:p w14:paraId="487C4408">
      <w:pPr>
        <w:pStyle w:val="2"/>
        <w:keepNext w:val="0"/>
        <w:keepLines w:val="0"/>
        <w:pageBreakBefore w:val="0"/>
        <w:kinsoku/>
        <w:wordWrap/>
        <w:overflowPunct/>
        <w:topLinePunct w:val="0"/>
        <w:bidi w:val="0"/>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抚顺新钢铁公司设立</w:t>
      </w:r>
      <w:r>
        <w:rPr>
          <w:rFonts w:hint="eastAsia" w:ascii="仿宋_GB2312" w:hAnsi="仿宋_GB2312" w:eastAsia="仿宋_GB2312" w:cs="仿宋_GB2312"/>
          <w:color w:val="auto"/>
          <w:kern w:val="2"/>
          <w:sz w:val="32"/>
          <w:szCs w:val="32"/>
          <w:highlight w:val="none"/>
          <w:lang w:val="en-US" w:eastAsia="zh-CN" w:bidi="ar-SA"/>
        </w:rPr>
        <w:t>发包方项目部</w:t>
      </w:r>
      <w:r>
        <w:rPr>
          <w:rFonts w:hint="eastAsia" w:ascii="仿宋_GB2312" w:hAnsi="仿宋_GB2312" w:eastAsia="仿宋_GB2312" w:cs="仿宋_GB2312"/>
          <w:kern w:val="2"/>
          <w:sz w:val="32"/>
          <w:szCs w:val="32"/>
          <w:lang w:val="en-US" w:eastAsia="zh-CN" w:bidi="ar-SA"/>
        </w:rPr>
        <w:t>实施管理，《施工合同》中约定，发包人代表为曹成，职务为项目经理，负责工程全面管理，包括但不限于签发工程项目建设期间开工、停工等所有过程管理文件、指令的签署；工程质量、进度安全、文明施工、投资费用的总体控制、现场协调等。</w:t>
      </w:r>
    </w:p>
    <w:p w14:paraId="7879F3B9">
      <w:pPr>
        <w:keepNext w:val="0"/>
        <w:keepLines w:val="0"/>
        <w:pageBreakBefore w:val="0"/>
        <w:kinsoku/>
        <w:wordWrap/>
        <w:overflowPunct/>
        <w:topLinePunct w:val="0"/>
        <w:autoSpaceDE w:val="0"/>
        <w:autoSpaceDN w:val="0"/>
        <w:bidi w:val="0"/>
        <w:adjustRightInd w:val="0"/>
        <w:spacing w:line="560" w:lineRule="exact"/>
        <w:ind w:firstLine="643" w:firstLineChars="200"/>
        <w:textAlignment w:val="auto"/>
        <w:rPr>
          <w:rFonts w:hint="eastAsia" w:ascii="仿宋_GB2312" w:hAnsi="仿宋_GB2312" w:eastAsia="仿宋_GB2312" w:cs="仿宋_GB2312"/>
          <w:b/>
          <w:color w:val="auto"/>
          <w:sz w:val="32"/>
          <w:szCs w:val="32"/>
          <w:highlight w:val="yellow"/>
          <w:lang w:val="en-US" w:eastAsia="zh-CN"/>
        </w:rPr>
      </w:pPr>
      <w:r>
        <w:rPr>
          <w:rFonts w:hint="eastAsia" w:ascii="仿宋_GB2312" w:hAnsi="仿宋_GB2312" w:eastAsia="仿宋_GB2312" w:cs="仿宋_GB2312"/>
          <w:b/>
          <w:color w:val="auto"/>
          <w:sz w:val="32"/>
          <w:szCs w:val="32"/>
          <w:lang w:val="en-US" w:eastAsia="zh-CN"/>
        </w:rPr>
        <w:t>4</w:t>
      </w:r>
      <w:r>
        <w:rPr>
          <w:rFonts w:hint="eastAsia" w:ascii="仿宋_GB2312" w:hAnsi="仿宋_GB2312" w:eastAsia="仿宋_GB2312" w:cs="仿宋_GB2312"/>
          <w:b/>
          <w:color w:val="auto"/>
          <w:sz w:val="32"/>
          <w:szCs w:val="32"/>
        </w:rPr>
        <w:t>.</w:t>
      </w:r>
      <w:r>
        <w:rPr>
          <w:rFonts w:hint="eastAsia" w:ascii="仿宋_GB2312" w:hAnsi="仿宋_GB2312" w:eastAsia="仿宋_GB2312" w:cs="仿宋_GB2312"/>
          <w:b/>
          <w:color w:val="auto"/>
          <w:sz w:val="32"/>
          <w:szCs w:val="32"/>
          <w:lang w:val="en-US" w:eastAsia="zh-CN"/>
        </w:rPr>
        <w:t>中冶北方大连公司</w:t>
      </w:r>
    </w:p>
    <w:p w14:paraId="69D84E0C">
      <w:pPr>
        <w:keepNext w:val="0"/>
        <w:keepLines w:val="0"/>
        <w:pageBreakBefore w:val="0"/>
        <w:widowControl w:val="0"/>
        <w:suppressLineNumbers w:val="0"/>
        <w:kinsoku/>
        <w:wordWrap/>
        <w:overflowPunct/>
        <w:topLinePunct w:val="0"/>
        <w:bidi w:val="0"/>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Cs/>
          <w:color w:val="auto"/>
          <w:sz w:val="32"/>
          <w:szCs w:val="32"/>
          <w:highlight w:val="none"/>
          <w:u w:val="none"/>
          <w:lang w:val="en-US" w:eastAsia="zh-CN"/>
        </w:rPr>
      </w:pPr>
      <w:r>
        <w:rPr>
          <w:rFonts w:hint="eastAsia" w:ascii="仿宋_GB2312" w:hAnsi="仿宋_GB2312" w:eastAsia="仿宋_GB2312" w:cs="仿宋_GB2312"/>
          <w:bCs/>
          <w:color w:val="auto"/>
          <w:sz w:val="32"/>
          <w:szCs w:val="32"/>
          <w:highlight w:val="none"/>
          <w:u w:val="none"/>
          <w:lang w:val="en-US" w:eastAsia="zh-CN"/>
        </w:rPr>
        <w:t>工程项目监理单位。公司统一社会信用代码：91210213576097888D，类型：有限责任公司（法人独资），法定代表人：刘召胜，成立日期：2011年8月15日，住所：中国（辽宁自由贸易试验区大连经济技术开发区金窑路38-7-1号1层），公司经营范围：采矿、选矿、烧结、球团等冶金及黄金、有色行业、建筑行业、建材行业、市政行业、环境评价及污染防治、智能建筑、工程造价、工程咨询的设计以及设备配套、工程监理、工程总承包（以建筑业企业资质证书核定的范围为准，并凭资质证书经营）。登记机关：大连保税区市场监督管理局。</w:t>
      </w:r>
    </w:p>
    <w:p w14:paraId="05C1C0D5">
      <w:pPr>
        <w:keepNext w:val="0"/>
        <w:keepLines w:val="0"/>
        <w:pageBreakBefore w:val="0"/>
        <w:widowControl w:val="0"/>
        <w:suppressLineNumbers w:val="0"/>
        <w:kinsoku/>
        <w:wordWrap/>
        <w:overflowPunct/>
        <w:topLinePunct w:val="0"/>
        <w:bidi w:val="0"/>
        <w:spacing w:before="0" w:beforeAutospacing="0" w:after="0" w:afterAutospacing="0" w:line="560" w:lineRule="exact"/>
        <w:ind w:left="0" w:leftChars="0" w:right="0" w:rightChars="0" w:firstLine="640" w:firstLineChars="200"/>
        <w:jc w:val="both"/>
        <w:textAlignment w:val="auto"/>
        <w:rPr>
          <w:rFonts w:hint="default" w:ascii="仿宋_GB2312" w:hAnsi="仿宋_GB2312" w:eastAsia="仿宋_GB2312" w:cs="仿宋_GB2312"/>
          <w:bCs/>
          <w:color w:val="auto"/>
          <w:kern w:val="2"/>
          <w:sz w:val="32"/>
          <w:szCs w:val="32"/>
          <w:highlight w:val="none"/>
          <w:u w:val="none"/>
          <w:lang w:val="en-US" w:eastAsia="zh-CN" w:bidi="ar-SA"/>
        </w:rPr>
      </w:pPr>
      <w:r>
        <w:rPr>
          <w:rFonts w:hint="eastAsia" w:ascii="仿宋_GB2312" w:hAnsi="仿宋_GB2312" w:eastAsia="仿宋_GB2312" w:cs="仿宋_GB2312"/>
          <w:bCs/>
          <w:color w:val="auto"/>
          <w:kern w:val="2"/>
          <w:sz w:val="32"/>
          <w:szCs w:val="32"/>
          <w:highlight w:val="none"/>
          <w:u w:val="none"/>
          <w:lang w:val="en-US" w:eastAsia="zh-CN" w:bidi="ar-SA"/>
        </w:rPr>
        <w:t>工程监理综合资质证书编号：E121013622-4/3，发证时间：2023年11月9日，有效期：至2028年11月9日，业务范围：可承担所有专业工程类别建设工程项目的工程监理业务，可以开展相应类别建设工程的项目管理、技术咨询等业务。发证机关：中华人民共和国住房和城乡建设部。</w:t>
      </w:r>
    </w:p>
    <w:p w14:paraId="5683A540">
      <w:pPr>
        <w:keepNext w:val="0"/>
        <w:keepLines w:val="0"/>
        <w:pageBreakBefore w:val="0"/>
        <w:widowControl w:val="0"/>
        <w:suppressLineNumbers w:val="0"/>
        <w:kinsoku/>
        <w:wordWrap/>
        <w:overflowPunct/>
        <w:topLinePunct w:val="0"/>
        <w:bidi w:val="0"/>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Cs/>
          <w:color w:val="auto"/>
          <w:sz w:val="32"/>
          <w:szCs w:val="32"/>
          <w:highlight w:val="none"/>
          <w:u w:val="none"/>
          <w:lang w:val="en-US" w:eastAsia="zh-CN"/>
        </w:rPr>
      </w:pPr>
      <w:r>
        <w:rPr>
          <w:rFonts w:hint="eastAsia" w:ascii="仿宋_GB2312" w:hAnsi="仿宋_GB2312" w:eastAsia="仿宋_GB2312" w:cs="仿宋_GB2312"/>
          <w:color w:val="auto"/>
          <w:kern w:val="2"/>
          <w:sz w:val="32"/>
          <w:szCs w:val="32"/>
          <w:highlight w:val="none"/>
          <w:lang w:val="en-US" w:eastAsia="zh-CN" w:bidi="ar-SA"/>
        </w:rPr>
        <w:t>总监理工程师：艾厚金，职称：监理工程师，专业：房屋建筑工程、冶炼工程，注册监理单位：中冶北方（大连）工程技术有限公司，证书编号：21008331，发证机关：中华人民共和国住房和城乡建设部，发证日期：2025年5月30日，注册有效期：2028年7月5日。监理员：孙振凯、刘强。</w:t>
      </w:r>
    </w:p>
    <w:p w14:paraId="3FCD4343">
      <w:pPr>
        <w:keepNext w:val="0"/>
        <w:keepLines w:val="0"/>
        <w:pageBreakBefore w:val="0"/>
        <w:kinsoku/>
        <w:wordWrap/>
        <w:overflowPunct/>
        <w:topLinePunct w:val="0"/>
        <w:autoSpaceDE w:val="0"/>
        <w:autoSpaceDN w:val="0"/>
        <w:bidi w:val="0"/>
        <w:adjustRightInd w:val="0"/>
        <w:spacing w:line="560" w:lineRule="exact"/>
        <w:ind w:firstLine="643" w:firstLineChars="200"/>
        <w:textAlignment w:val="auto"/>
        <w:outlineLvl w:val="1"/>
        <w:rPr>
          <w:rFonts w:hint="eastAsia" w:ascii="楷体_GB2312" w:hAnsi="楷体_GB2312" w:eastAsia="楷体_GB2312" w:cs="楷体_GB2312"/>
          <w:b/>
          <w:sz w:val="32"/>
          <w:szCs w:val="32"/>
          <w:highlight w:val="none"/>
        </w:rPr>
      </w:pPr>
      <w:r>
        <w:rPr>
          <w:rFonts w:hint="eastAsia" w:ascii="楷体_GB2312" w:hAnsi="楷体_GB2312" w:eastAsia="楷体_GB2312" w:cs="楷体_GB2312"/>
          <w:b/>
          <w:sz w:val="32"/>
          <w:szCs w:val="32"/>
          <w:highlight w:val="none"/>
          <w:lang w:eastAsia="zh-CN"/>
        </w:rPr>
        <w:t>（</w:t>
      </w:r>
      <w:r>
        <w:rPr>
          <w:rFonts w:hint="eastAsia" w:ascii="楷体_GB2312" w:hAnsi="楷体_GB2312" w:eastAsia="楷体_GB2312" w:cs="楷体_GB2312"/>
          <w:b/>
          <w:sz w:val="32"/>
          <w:szCs w:val="32"/>
          <w:highlight w:val="none"/>
          <w:lang w:val="en-US" w:eastAsia="zh-CN"/>
        </w:rPr>
        <w:t>三</w:t>
      </w:r>
      <w:r>
        <w:rPr>
          <w:rFonts w:hint="eastAsia" w:ascii="楷体_GB2312" w:hAnsi="楷体_GB2312" w:eastAsia="楷体_GB2312" w:cs="楷体_GB2312"/>
          <w:b/>
          <w:sz w:val="32"/>
          <w:szCs w:val="32"/>
          <w:highlight w:val="none"/>
          <w:lang w:eastAsia="zh-CN"/>
        </w:rPr>
        <w:t>）</w:t>
      </w:r>
      <w:r>
        <w:rPr>
          <w:rFonts w:hint="eastAsia" w:ascii="楷体_GB2312" w:hAnsi="楷体_GB2312" w:eastAsia="楷体_GB2312" w:cs="楷体_GB2312"/>
          <w:b/>
          <w:sz w:val="32"/>
          <w:szCs w:val="32"/>
          <w:highlight w:val="none"/>
          <w:lang w:val="en-US" w:eastAsia="zh-CN"/>
        </w:rPr>
        <w:t>工程项目施工组织情况</w:t>
      </w:r>
    </w:p>
    <w:p w14:paraId="6FFF7828">
      <w:pPr>
        <w:keepNext w:val="0"/>
        <w:keepLines w:val="0"/>
        <w:pageBreakBefore w:val="0"/>
        <w:kinsoku/>
        <w:wordWrap/>
        <w:overflowPunct/>
        <w:topLinePunct w:val="0"/>
        <w:autoSpaceDE w:val="0"/>
        <w:bidi w:val="0"/>
        <w:snapToGrid w:val="0"/>
        <w:spacing w:line="560" w:lineRule="exact"/>
        <w:ind w:firstLine="640" w:firstLineChars="200"/>
        <w:textAlignment w:val="auto"/>
        <w:rPr>
          <w:rFonts w:hint="eastAsia" w:ascii="仿宋_GB2312" w:hAnsi="仿宋_GB2312" w:eastAsia="仿宋_GB2312" w:cs="仿宋_GB2312"/>
          <w:bCs/>
          <w:color w:val="auto"/>
          <w:sz w:val="32"/>
          <w:szCs w:val="32"/>
          <w:highlight w:val="none"/>
          <w:u w:val="none"/>
          <w:lang w:val="en-US" w:eastAsia="zh-CN"/>
        </w:rPr>
      </w:pPr>
      <w:r>
        <w:rPr>
          <w:rFonts w:hint="eastAsia" w:ascii="仿宋_GB2312" w:hAnsi="仿宋_GB2312" w:eastAsia="仿宋_GB2312" w:cs="仿宋_GB2312"/>
          <w:bCs/>
          <w:color w:val="auto"/>
          <w:sz w:val="32"/>
          <w:szCs w:val="32"/>
          <w:highlight w:val="none"/>
          <w:u w:val="none"/>
          <w:lang w:val="en-US" w:eastAsia="zh-CN"/>
        </w:rPr>
        <w:t>工程项目中,四川共创公司有专业分包和劳务分包作业。其中，劳务分包为钢筋及混凝土工程，工种为钢筋工与瓦工，由总承包项目部施工、四川共创公司提供劳务作业。专业分包为模板及脚手架工程，工种为木工与架子工，四川共创公司组建了专业分包项目部负责对其承包施工，由其组织木工班组、架工班组作业。上述施工作业人员参加了总承包项目部统一组织的三级安全教育，施工作业前进行了安全交底。</w:t>
      </w:r>
    </w:p>
    <w:p w14:paraId="0921E8EA">
      <w:pPr>
        <w:keepNext w:val="0"/>
        <w:keepLines w:val="0"/>
        <w:pageBreakBefore w:val="0"/>
        <w:kinsoku/>
        <w:wordWrap/>
        <w:overflowPunct/>
        <w:topLinePunct w:val="0"/>
        <w:autoSpaceDE w:val="0"/>
        <w:bidi w:val="0"/>
        <w:snapToGrid w:val="0"/>
        <w:spacing w:line="560" w:lineRule="exact"/>
        <w:ind w:firstLine="640" w:firstLineChars="200"/>
        <w:textAlignment w:val="auto"/>
        <w:rPr>
          <w:rFonts w:hint="eastAsia" w:ascii="仿宋_GB2312" w:hAnsi="仿宋_GB2312" w:eastAsia="仿宋_GB2312" w:cs="仿宋_GB2312"/>
          <w:bCs/>
          <w:color w:val="auto"/>
          <w:sz w:val="32"/>
          <w:szCs w:val="32"/>
          <w:highlight w:val="none"/>
          <w:u w:val="none"/>
          <w:lang w:val="en-US" w:eastAsia="zh-CN"/>
        </w:rPr>
      </w:pPr>
      <w:r>
        <w:rPr>
          <w:rFonts w:hint="eastAsia" w:ascii="仿宋_GB2312" w:hAnsi="仿宋_GB2312" w:eastAsia="仿宋_GB2312" w:cs="仿宋_GB2312"/>
          <w:bCs/>
          <w:color w:val="auto"/>
          <w:sz w:val="32"/>
          <w:szCs w:val="32"/>
          <w:highlight w:val="none"/>
          <w:u w:val="none"/>
          <w:lang w:val="en-US" w:eastAsia="zh-CN"/>
        </w:rPr>
        <w:t>事发前具体施工过程如下：槽前转运站为9月6日完成地下结构施工，后续施工过程中，2到3天完成一层结构的钢筋与混凝土浇筑施工，2到3天完成模板支撑及模板施工。槽前转运站共5层，当施工完成第3层后拆除第1层模板与模板支撑，并按照工序逐层拆除，第5层于10月19日浇筑完成后，劳务作业施工完成，后续槽前转运站只剩余模板与模板支撑的专业分包施工任务。10月21日开始拆除第5层的模板与模板支撑。事故作业正在进行第5层模板支撑与模板拆除后对地面的模板、脚手架及周转材料清理任务。</w:t>
      </w:r>
    </w:p>
    <w:p w14:paraId="61E8C7A3">
      <w:pPr>
        <w:pStyle w:val="2"/>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-278765</wp:posOffset>
            </wp:positionH>
            <wp:positionV relativeFrom="paragraph">
              <wp:posOffset>127000</wp:posOffset>
            </wp:positionV>
            <wp:extent cx="5971540" cy="3495675"/>
            <wp:effectExtent l="0" t="0" r="10160" b="9525"/>
            <wp:wrapNone/>
            <wp:docPr id="11" name="图片 11" descr="4c3db4288678147e692c7147c2997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c3db4288678147e692c7147c29978b8"/>
                    <pic:cNvPicPr>
                      <a:picLocks noChangeAspect="1"/>
                    </pic:cNvPicPr>
                  </pic:nvPicPr>
                  <pic:blipFill>
                    <a:blip r:embed="rId6"/>
                    <a:srcRect l="4878" t="10711" r="3726" b="18169"/>
                    <a:stretch>
                      <a:fillRect/>
                    </a:stretch>
                  </pic:blipFill>
                  <pic:spPr>
                    <a:xfrm>
                      <a:off x="0" y="0"/>
                      <a:ext cx="5971540" cy="3495675"/>
                    </a:xfrm>
                    <a:prstGeom prst="rect">
                      <a:avLst/>
                    </a:prstGeom>
                  </pic:spPr>
                </pic:pic>
              </a:graphicData>
            </a:graphic>
          </wp:anchor>
        </w:drawing>
      </w:r>
    </w:p>
    <w:p w14:paraId="1BC28939">
      <w:pPr>
        <w:pStyle w:val="2"/>
        <w:rPr>
          <w:rFonts w:hint="eastAsia"/>
          <w:lang w:val="en-US" w:eastAsia="zh-CN"/>
        </w:rPr>
      </w:pPr>
    </w:p>
    <w:p w14:paraId="6B259FCE">
      <w:pPr>
        <w:pStyle w:val="2"/>
        <w:rPr>
          <w:rFonts w:hint="eastAsia"/>
          <w:lang w:val="en-US" w:eastAsia="zh-CN"/>
        </w:rPr>
      </w:pPr>
    </w:p>
    <w:p w14:paraId="7EFAD5AB">
      <w:pPr>
        <w:pStyle w:val="2"/>
        <w:rPr>
          <w:rFonts w:hint="eastAsia"/>
          <w:lang w:val="en-US" w:eastAsia="zh-CN"/>
        </w:rPr>
      </w:pPr>
    </w:p>
    <w:p w14:paraId="2F01D81C">
      <w:pPr>
        <w:pStyle w:val="2"/>
        <w:rPr>
          <w:rFonts w:hint="eastAsia"/>
          <w:lang w:val="en-US" w:eastAsia="zh-CN"/>
        </w:rPr>
      </w:pPr>
    </w:p>
    <w:p w14:paraId="719CBC99">
      <w:pPr>
        <w:pStyle w:val="2"/>
        <w:rPr>
          <w:rFonts w:hint="eastAsia"/>
          <w:lang w:val="en-US" w:eastAsia="zh-CN"/>
        </w:rPr>
      </w:pPr>
    </w:p>
    <w:p w14:paraId="0658B7D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黑体" w:hAnsi="黑体" w:eastAsia="黑体" w:cs="黑体"/>
          <w:bCs/>
          <w:sz w:val="32"/>
          <w:szCs w:val="32"/>
          <w:highlight w:val="none"/>
        </w:rPr>
      </w:pPr>
    </w:p>
    <w:p w14:paraId="6275551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黑体" w:hAnsi="黑体" w:eastAsia="黑体" w:cs="黑体"/>
          <w:bCs/>
          <w:sz w:val="32"/>
          <w:szCs w:val="32"/>
          <w:highlight w:val="none"/>
        </w:rPr>
      </w:pPr>
    </w:p>
    <w:p w14:paraId="5C6F11D0">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黑体" w:hAnsi="黑体" w:eastAsia="黑体" w:cs="黑体"/>
          <w:bCs/>
          <w:sz w:val="32"/>
          <w:szCs w:val="32"/>
          <w:highlight w:val="none"/>
        </w:rPr>
      </w:pPr>
    </w:p>
    <w:p w14:paraId="5D7C8356">
      <w:pPr>
        <w:keepNext w:val="0"/>
        <w:keepLines w:val="0"/>
        <w:pageBreakBefore w:val="0"/>
        <w:widowControl w:val="0"/>
        <w:kinsoku/>
        <w:wordWrap/>
        <w:overflowPunct/>
        <w:topLinePunct w:val="0"/>
        <w:autoSpaceDE/>
        <w:autoSpaceDN/>
        <w:bidi w:val="0"/>
        <w:adjustRightInd/>
        <w:spacing w:line="560" w:lineRule="exact"/>
        <w:textAlignment w:val="auto"/>
        <w:rPr>
          <w:rFonts w:hint="eastAsia" w:ascii="黑体" w:hAnsi="黑体" w:eastAsia="黑体" w:cs="黑体"/>
          <w:bCs/>
          <w:sz w:val="32"/>
          <w:szCs w:val="32"/>
          <w:highlight w:val="none"/>
        </w:rPr>
      </w:pPr>
    </w:p>
    <w:p w14:paraId="3691CD6F">
      <w:pPr>
        <w:pStyle w:val="2"/>
        <w:rPr>
          <w:rFonts w:hint="eastAsia" w:ascii="黑体" w:hAnsi="黑体" w:eastAsia="黑体" w:cs="黑体"/>
          <w:bCs/>
          <w:sz w:val="32"/>
          <w:szCs w:val="32"/>
          <w:highlight w:val="none"/>
        </w:rPr>
      </w:pPr>
    </w:p>
    <w:p w14:paraId="1E499036">
      <w:pPr>
        <w:keepNext w:val="0"/>
        <w:keepLines w:val="0"/>
        <w:pageBreakBefore w:val="0"/>
        <w:widowControl w:val="0"/>
        <w:kinsoku/>
        <w:wordWrap/>
        <w:overflowPunct/>
        <w:topLinePunct w:val="0"/>
        <w:autoSpaceDE/>
        <w:autoSpaceDN/>
        <w:bidi w:val="0"/>
        <w:adjustRightInd/>
        <w:spacing w:line="560" w:lineRule="exact"/>
        <w:ind w:firstLine="2240" w:firstLineChars="800"/>
        <w:textAlignment w:val="auto"/>
        <w:rPr>
          <w:rFonts w:hint="eastAsia" w:ascii="宋体" w:hAnsi="宋体" w:eastAsia="宋体" w:cs="宋体"/>
          <w:sz w:val="28"/>
          <w:szCs w:val="28"/>
          <w:highlight w:val="none"/>
          <w:lang w:val="en-US" w:eastAsia="zh-CN"/>
        </w:rPr>
      </w:pPr>
    </w:p>
    <w:p w14:paraId="16756DDC">
      <w:pPr>
        <w:keepNext w:val="0"/>
        <w:keepLines w:val="0"/>
        <w:pageBreakBefore w:val="0"/>
        <w:widowControl w:val="0"/>
        <w:kinsoku/>
        <w:wordWrap/>
        <w:overflowPunct/>
        <w:topLinePunct w:val="0"/>
        <w:autoSpaceDE/>
        <w:autoSpaceDN/>
        <w:bidi w:val="0"/>
        <w:adjustRightInd/>
        <w:spacing w:line="560" w:lineRule="exact"/>
        <w:ind w:firstLine="2240" w:firstLineChars="800"/>
        <w:textAlignment w:val="auto"/>
        <w:rPr>
          <w:rFonts w:hint="eastAsia" w:ascii="宋体" w:hAnsi="宋体" w:eastAsia="宋体" w:cs="宋体"/>
          <w:sz w:val="28"/>
          <w:szCs w:val="28"/>
          <w:highlight w:val="none"/>
          <w:lang w:val="en-US" w:eastAsia="zh-CN"/>
        </w:rPr>
      </w:pPr>
    </w:p>
    <w:p w14:paraId="36277CB4">
      <w:pPr>
        <w:keepNext w:val="0"/>
        <w:keepLines w:val="0"/>
        <w:pageBreakBefore w:val="0"/>
        <w:widowControl w:val="0"/>
        <w:kinsoku/>
        <w:wordWrap/>
        <w:overflowPunct/>
        <w:topLinePunct w:val="0"/>
        <w:autoSpaceDE/>
        <w:autoSpaceDN/>
        <w:bidi w:val="0"/>
        <w:adjustRightInd/>
        <w:spacing w:line="560" w:lineRule="exact"/>
        <w:ind w:firstLine="2240" w:firstLineChars="800"/>
        <w:textAlignment w:val="auto"/>
        <w:rPr>
          <w:rFonts w:hint="eastAsia" w:ascii="宋体" w:hAnsi="宋体" w:eastAsia="宋体" w:cs="宋体"/>
          <w:sz w:val="28"/>
          <w:szCs w:val="28"/>
          <w:highlight w:val="none"/>
          <w:lang w:val="en-US" w:eastAsia="zh-CN"/>
        </w:rPr>
      </w:pPr>
    </w:p>
    <w:p w14:paraId="79CEC69A">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r>
        <w:rPr>
          <w:rFonts w:hint="eastAsia" w:ascii="宋体" w:hAnsi="宋体" w:eastAsia="宋体" w:cs="宋体"/>
          <w:sz w:val="24"/>
          <w:szCs w:val="24"/>
          <w:highlight w:val="none"/>
          <w:lang w:val="en-US" w:eastAsia="zh-CN"/>
        </w:rPr>
        <w:t>图</w:t>
      </w:r>
      <w:r>
        <w:rPr>
          <w:rFonts w:hint="eastAsia" w:ascii="宋体" w:hAnsi="宋体" w:cs="宋体"/>
          <w:sz w:val="24"/>
          <w:szCs w:val="24"/>
          <w:highlight w:val="none"/>
          <w:lang w:val="en-US" w:eastAsia="zh-CN"/>
        </w:rPr>
        <w:t>1 工程项目周工作安排</w:t>
      </w:r>
    </w:p>
    <w:p w14:paraId="78B54279">
      <w:pPr>
        <w:pStyle w:val="2"/>
        <w:rPr>
          <w:rFonts w:hint="eastAsia" w:ascii="宋体" w:hAnsi="宋体" w:cs="宋体"/>
          <w:sz w:val="28"/>
          <w:szCs w:val="28"/>
          <w:highlight w:val="none"/>
          <w:lang w:val="en-US" w:eastAsia="zh-CN"/>
        </w:rPr>
      </w:pPr>
    </w:p>
    <w:p w14:paraId="440107DC">
      <w:pPr>
        <w:keepNext w:val="0"/>
        <w:keepLines w:val="0"/>
        <w:pageBreakBefore w:val="0"/>
        <w:kinsoku/>
        <w:wordWrap/>
        <w:overflowPunct/>
        <w:topLinePunct w:val="0"/>
        <w:autoSpaceDE w:val="0"/>
        <w:bidi w:val="0"/>
        <w:snapToGrid w:val="0"/>
        <w:spacing w:line="560" w:lineRule="exact"/>
        <w:ind w:firstLine="640" w:firstLineChars="200"/>
        <w:textAlignment w:val="auto"/>
        <w:rPr>
          <w:rFonts w:hint="eastAsia" w:ascii="宋体" w:hAnsi="宋体" w:cs="宋体"/>
          <w:sz w:val="28"/>
          <w:szCs w:val="28"/>
          <w:highlight w:val="none"/>
          <w:lang w:val="en-US" w:eastAsia="zh-CN"/>
        </w:rPr>
      </w:pPr>
      <w:r>
        <w:rPr>
          <w:rFonts w:hint="eastAsia" w:ascii="仿宋_GB2312" w:hAnsi="仿宋_GB2312" w:eastAsia="仿宋_GB2312" w:cs="仿宋_GB2312"/>
          <w:bCs/>
          <w:color w:val="auto"/>
          <w:sz w:val="32"/>
          <w:szCs w:val="32"/>
          <w:highlight w:val="none"/>
          <w:u w:val="none"/>
          <w:lang w:val="en-US" w:eastAsia="zh-CN"/>
        </w:rPr>
        <w:t>事故发生前，总承包项目部于10月20日下发了《关于抚顺新钢矿槽项目槽前转运站皮带廊区域施工安全要求的通知》，要求项目部各施工单位：目前槽前转运站模板支撑体系正处于拆除及材料清理阶段，模板支撑体系拆除后皮带廊四周存在高处坠落风险，现已对皮带廊入口处进行封堵，禁止任何人员在此区域通行及施工作业，为保证施工安全，待正式栏杆安装后施工人员方可在此区域进行施工作业，特此通知。</w:t>
      </w:r>
    </w:p>
    <w:p w14:paraId="374712B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黑体" w:hAnsi="黑体" w:eastAsia="黑体" w:cs="黑体"/>
          <w:bCs/>
          <w:sz w:val="32"/>
          <w:szCs w:val="32"/>
          <w:highlight w:val="none"/>
        </w:rPr>
      </w:pPr>
      <w:r>
        <w:rPr>
          <w:rFonts w:hint="eastAsia" w:ascii="黑体" w:hAnsi="黑体" w:eastAsia="黑体" w:cs="黑体"/>
          <w:bCs/>
          <w:sz w:val="32"/>
          <w:szCs w:val="32"/>
          <w:highlight w:val="none"/>
        </w:rPr>
        <w:t>二、事故经过</w:t>
      </w:r>
      <w:r>
        <w:rPr>
          <w:rFonts w:hint="eastAsia" w:ascii="黑体" w:hAnsi="黑体" w:eastAsia="黑体" w:cs="黑体"/>
          <w:bCs/>
          <w:sz w:val="32"/>
          <w:szCs w:val="32"/>
          <w:highlight w:val="none"/>
          <w:lang w:eastAsia="zh-CN"/>
        </w:rPr>
        <w:t>、</w:t>
      </w:r>
      <w:r>
        <w:rPr>
          <w:rFonts w:hint="eastAsia" w:ascii="黑体" w:hAnsi="黑体" w:eastAsia="黑体" w:cs="黑体"/>
          <w:bCs/>
          <w:sz w:val="32"/>
          <w:szCs w:val="32"/>
          <w:highlight w:val="none"/>
        </w:rPr>
        <w:t>救援</w:t>
      </w:r>
      <w:r>
        <w:rPr>
          <w:rFonts w:hint="eastAsia" w:ascii="黑体" w:hAnsi="黑体" w:eastAsia="黑体" w:cs="黑体"/>
          <w:bCs/>
          <w:sz w:val="32"/>
          <w:szCs w:val="32"/>
          <w:highlight w:val="none"/>
          <w:lang w:eastAsia="zh-CN"/>
        </w:rPr>
        <w:t>及报告</w:t>
      </w:r>
      <w:r>
        <w:rPr>
          <w:rFonts w:hint="eastAsia" w:ascii="黑体" w:hAnsi="黑体" w:eastAsia="黑体" w:cs="黑体"/>
          <w:bCs/>
          <w:sz w:val="32"/>
          <w:szCs w:val="32"/>
          <w:highlight w:val="none"/>
        </w:rPr>
        <w:t>情况</w:t>
      </w:r>
    </w:p>
    <w:p w14:paraId="4710D65D">
      <w:pPr>
        <w:keepNext w:val="0"/>
        <w:keepLines w:val="0"/>
        <w:pageBreakBefore w:val="0"/>
        <w:kinsoku/>
        <w:wordWrap/>
        <w:overflowPunct/>
        <w:topLinePunct w:val="0"/>
        <w:autoSpaceDE w:val="0"/>
        <w:autoSpaceDN w:val="0"/>
        <w:bidi w:val="0"/>
        <w:adjustRightInd w:val="0"/>
        <w:spacing w:line="560" w:lineRule="exact"/>
        <w:ind w:left="420"/>
        <w:textAlignment w:val="auto"/>
        <w:outlineLvl w:val="1"/>
        <w:rPr>
          <w:rFonts w:hint="eastAsia" w:ascii="楷体_GB2312" w:hAnsi="楷体_GB2312" w:eastAsia="楷体_GB2312" w:cs="楷体_GB2312"/>
          <w:b/>
          <w:sz w:val="32"/>
          <w:szCs w:val="32"/>
          <w:highlight w:val="none"/>
          <w:lang w:val="en-US" w:eastAsia="zh-CN"/>
        </w:rPr>
      </w:pPr>
      <w:r>
        <w:rPr>
          <w:rFonts w:hint="eastAsia" w:ascii="楷体_GB2312" w:hAnsi="楷体_GB2312" w:eastAsia="楷体_GB2312" w:cs="楷体_GB2312"/>
          <w:b/>
          <w:sz w:val="32"/>
          <w:szCs w:val="32"/>
          <w:highlight w:val="none"/>
          <w:lang w:val="en-US" w:eastAsia="zh-CN"/>
        </w:rPr>
        <w:t>（一）事故发生经过</w:t>
      </w:r>
    </w:p>
    <w:p w14:paraId="419A3608">
      <w:pPr>
        <w:keepNext w:val="0"/>
        <w:keepLines w:val="0"/>
        <w:pageBreakBefore w:val="0"/>
        <w:kinsoku/>
        <w:wordWrap/>
        <w:overflowPunct/>
        <w:topLinePunct w:val="0"/>
        <w:autoSpaceDE w:val="0"/>
        <w:bidi w:val="0"/>
        <w:snapToGrid w:val="0"/>
        <w:spacing w:line="560" w:lineRule="exact"/>
        <w:ind w:firstLine="640" w:firstLineChars="200"/>
        <w:textAlignment w:val="auto"/>
        <w:rPr>
          <w:rFonts w:hint="eastAsia" w:ascii="仿宋_GB2312" w:hAnsi="仿宋_GB2312" w:eastAsia="仿宋_GB2312" w:cs="仿宋_GB2312"/>
          <w:bCs/>
          <w:color w:val="auto"/>
          <w:sz w:val="32"/>
          <w:szCs w:val="32"/>
          <w:highlight w:val="none"/>
          <w:u w:val="none"/>
          <w:lang w:val="en-US" w:eastAsia="zh-CN"/>
        </w:rPr>
      </w:pPr>
      <w:r>
        <w:rPr>
          <w:rFonts w:hint="eastAsia" w:ascii="仿宋_GB2312" w:hAnsi="仿宋_GB2312" w:eastAsia="仿宋_GB2312" w:cs="仿宋_GB2312"/>
          <w:bCs/>
          <w:color w:val="auto"/>
          <w:sz w:val="32"/>
          <w:szCs w:val="32"/>
          <w:highlight w:val="none"/>
          <w:u w:val="none"/>
          <w:lang w:val="en-US" w:eastAsia="zh-CN"/>
        </w:rPr>
        <w:t>2025年10月24日6时许，</w:t>
      </w:r>
      <w:r>
        <w:rPr>
          <w:rFonts w:hint="eastAsia" w:ascii="仿宋_GB2312" w:hAnsi="仿宋_GB2312" w:eastAsia="仿宋_GB2312" w:cs="仿宋_GB2312"/>
          <w:color w:val="auto"/>
          <w:sz w:val="32"/>
          <w:szCs w:val="32"/>
        </w:rPr>
        <w:t>在</w:t>
      </w:r>
      <w:r>
        <w:rPr>
          <w:rFonts w:hint="eastAsia" w:ascii="仿宋_GB2312" w:hAnsi="仿宋_GB2312" w:eastAsia="仿宋_GB2312" w:cs="仿宋_GB2312"/>
          <w:color w:val="auto"/>
          <w:sz w:val="32"/>
          <w:szCs w:val="32"/>
          <w:lang w:val="en-US" w:eastAsia="zh-CN"/>
        </w:rPr>
        <w:t>位于抚顺市望花区沈抚路18号的抚顺新钢铁有限责任公司高炉低碳绿色智能化升级改造项目矿槽及槽前转运系统建安工程（二标段）施工现场，</w:t>
      </w:r>
      <w:r>
        <w:rPr>
          <w:rFonts w:hint="eastAsia" w:ascii="仿宋_GB2312" w:hAnsi="仿宋_GB2312" w:eastAsia="仿宋_GB2312" w:cs="仿宋_GB2312"/>
          <w:bCs/>
          <w:color w:val="auto"/>
          <w:sz w:val="32"/>
          <w:szCs w:val="32"/>
          <w:highlight w:val="none"/>
          <w:u w:val="none"/>
          <w:lang w:val="en-US" w:eastAsia="zh-CN"/>
        </w:rPr>
        <w:t>四川共创公司木工班班长李勇组织了当日班前会，参会人员共15人，其中安排徐国雄等6人从事槽前转运站清理一层材料。13时45分许，上海远恒钢结构公司焊工王东飞在取材料途中，发现徐国雄坐在地上，后路过几次发现徐国雄用手擦拭鼻子流出的血并倚靠在皮带廊下方，发现异常后王东飞将情况通知在一层另一侧作业的木工郭双和郭金，郭金与工友陈立学到达现场发现徐国雄已经侧躺在地上，于是立刻报告班长李勇。</w:t>
      </w:r>
    </w:p>
    <w:p w14:paraId="5F0F7A0C">
      <w:pPr>
        <w:keepNext w:val="0"/>
        <w:keepLines w:val="0"/>
        <w:pageBreakBefore w:val="0"/>
        <w:kinsoku/>
        <w:wordWrap/>
        <w:overflowPunct/>
        <w:topLinePunct w:val="0"/>
        <w:autoSpaceDE w:val="0"/>
        <w:autoSpaceDN w:val="0"/>
        <w:bidi w:val="0"/>
        <w:adjustRightInd w:val="0"/>
        <w:spacing w:line="560" w:lineRule="exact"/>
        <w:ind w:left="420"/>
        <w:textAlignment w:val="auto"/>
        <w:outlineLvl w:val="1"/>
        <w:rPr>
          <w:rFonts w:hint="eastAsia" w:ascii="楷体_GB2312" w:hAnsi="楷体_GB2312" w:eastAsia="楷体_GB2312" w:cs="楷体_GB2312"/>
          <w:b/>
          <w:sz w:val="32"/>
          <w:szCs w:val="32"/>
          <w:highlight w:val="none"/>
          <w:lang w:val="en-US" w:eastAsia="zh-CN"/>
        </w:rPr>
      </w:pPr>
      <w:r>
        <w:rPr>
          <w:rFonts w:hint="eastAsia" w:ascii="楷体_GB2312" w:hAnsi="楷体_GB2312" w:eastAsia="楷体_GB2312" w:cs="楷体_GB2312"/>
          <w:b/>
          <w:sz w:val="32"/>
          <w:szCs w:val="32"/>
          <w:highlight w:val="none"/>
          <w:lang w:val="en-US" w:eastAsia="zh-CN"/>
        </w:rPr>
        <w:t>（二）事故救援情况</w:t>
      </w:r>
    </w:p>
    <w:p w14:paraId="5E121C26">
      <w:pPr>
        <w:keepNext w:val="0"/>
        <w:keepLines w:val="0"/>
        <w:pageBreakBefore w:val="0"/>
        <w:kinsoku/>
        <w:wordWrap/>
        <w:overflowPunct/>
        <w:topLinePunct w:val="0"/>
        <w:autoSpaceDE w:val="0"/>
        <w:bidi w:val="0"/>
        <w:snapToGrid w:val="0"/>
        <w:spacing w:line="560" w:lineRule="exact"/>
        <w:ind w:firstLine="640" w:firstLineChars="200"/>
        <w:textAlignment w:val="auto"/>
        <w:rPr>
          <w:rFonts w:hint="eastAsia" w:ascii="仿宋_GB2312" w:hAnsi="仿宋_GB2312" w:eastAsia="仿宋_GB2312" w:cs="仿宋_GB2312"/>
          <w:bCs/>
          <w:color w:val="auto"/>
          <w:sz w:val="32"/>
          <w:szCs w:val="32"/>
          <w:highlight w:val="none"/>
          <w:u w:val="none"/>
          <w:lang w:val="en-US" w:eastAsia="zh-CN"/>
        </w:rPr>
      </w:pPr>
      <w:r>
        <w:rPr>
          <w:rFonts w:hint="eastAsia" w:ascii="仿宋_GB2312" w:hAnsi="仿宋_GB2312" w:eastAsia="仿宋_GB2312" w:cs="仿宋_GB2312"/>
          <w:bCs/>
          <w:color w:val="auto"/>
          <w:sz w:val="32"/>
          <w:szCs w:val="32"/>
          <w:highlight w:val="none"/>
          <w:u w:val="none"/>
          <w:lang w:val="en-US" w:eastAsia="zh-CN"/>
        </w:rPr>
        <w:t>李勇来到现场后，将情况报告给工长刘勇，并于14时4分拨打了120急救电话，据现场人员所述120当时说没有车，刘勇和胡学海分别来到现场后，安排安全员吴鸣宇带3名工人开皮卡车将徐国雄送往医院，皮卡车行至抚顺新钢铁公司南门东侧约200米处时，与赶来的120急救车汇合，120医护人员对徐国雄进行抢救，后经抢救无效宣告死亡。</w:t>
      </w:r>
    </w:p>
    <w:p w14:paraId="4FA8FEC1">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r>
        <w:rPr>
          <w:rFonts w:hint="eastAsia" w:ascii="楷体_GB2312" w:hAnsi="楷体_GB2312" w:eastAsia="楷体_GB2312" w:cs="楷体_GB2312"/>
          <w:b/>
          <w:sz w:val="32"/>
          <w:szCs w:val="32"/>
          <w:highlight w:val="none"/>
          <w:lang w:val="en-US" w:eastAsia="zh-CN"/>
        </w:rPr>
        <w:t>（三）事故报告情况</w:t>
      </w:r>
    </w:p>
    <w:p w14:paraId="2166D2DB">
      <w:pPr>
        <w:pStyle w:val="2"/>
        <w:keepNext w:val="0"/>
        <w:keepLines w:val="0"/>
        <w:pageBreakBefore w:val="0"/>
        <w:widowControl w:val="0"/>
        <w:kinsoku/>
        <w:wordWrap/>
        <w:overflowPunct/>
        <w:topLinePunct w:val="0"/>
        <w:autoSpaceDE/>
        <w:autoSpaceDN/>
        <w:bidi w:val="0"/>
        <w:adjustRightInd/>
        <w:spacing w:line="560" w:lineRule="exact"/>
        <w:ind w:firstLine="640" w:firstLineChars="200"/>
        <w:jc w:val="both"/>
        <w:textAlignment w:val="auto"/>
        <w:rPr>
          <w:rFonts w:hint="eastAsia" w:ascii="仿宋_GB2312" w:hAnsi="仿宋_GB2312" w:eastAsia="仿宋_GB2312" w:cs="仿宋_GB2312"/>
          <w:bCs/>
          <w:color w:val="auto"/>
          <w:kern w:val="2"/>
          <w:sz w:val="32"/>
          <w:szCs w:val="32"/>
          <w:highlight w:val="none"/>
          <w:u w:val="none"/>
          <w:lang w:val="en-US" w:eastAsia="zh-CN" w:bidi="ar-SA"/>
        </w:rPr>
      </w:pPr>
      <w:r>
        <w:rPr>
          <w:rFonts w:hint="eastAsia" w:ascii="仿宋_GB2312" w:hAnsi="仿宋_GB2312" w:eastAsia="仿宋_GB2312" w:cs="仿宋_GB2312"/>
          <w:bCs/>
          <w:color w:val="auto"/>
          <w:kern w:val="2"/>
          <w:sz w:val="32"/>
          <w:szCs w:val="32"/>
          <w:highlight w:val="none"/>
          <w:u w:val="none"/>
          <w:lang w:val="en-US" w:eastAsia="zh-CN" w:bidi="ar-SA"/>
        </w:rPr>
        <w:t>2025年10月24日16时53分许，四川共创公司向市应急局报告了事故。</w:t>
      </w:r>
    </w:p>
    <w:p w14:paraId="65A73672">
      <w:pPr>
        <w:pStyle w:val="2"/>
        <w:keepNext w:val="0"/>
        <w:keepLines w:val="0"/>
        <w:pageBreakBefore w:val="0"/>
        <w:widowControl w:val="0"/>
        <w:kinsoku/>
        <w:wordWrap/>
        <w:overflowPunct/>
        <w:topLinePunct w:val="0"/>
        <w:autoSpaceDE/>
        <w:autoSpaceDN/>
        <w:bidi w:val="0"/>
        <w:adjustRightInd/>
        <w:spacing w:line="560" w:lineRule="exact"/>
        <w:jc w:val="both"/>
        <w:textAlignment w:val="auto"/>
        <w:rPr>
          <w:rFonts w:hint="eastAsia" w:ascii="仿宋_GB2312" w:hAnsi="仿宋_GB2312" w:eastAsia="仿宋_GB2312" w:cs="仿宋_GB2312"/>
          <w:bCs/>
          <w:color w:val="auto"/>
          <w:kern w:val="2"/>
          <w:sz w:val="32"/>
          <w:szCs w:val="32"/>
          <w:highlight w:val="none"/>
          <w:u w:val="none"/>
          <w:lang w:val="en-US" w:eastAsia="zh-CN" w:bidi="ar-SA"/>
        </w:rPr>
      </w:pPr>
    </w:p>
    <w:p w14:paraId="0E84AF6F">
      <w:pPr>
        <w:pStyle w:val="2"/>
        <w:spacing w:line="360" w:lineRule="auto"/>
        <w:jc w:val="center"/>
        <w:rPr>
          <w:rFonts w:hint="eastAsia" w:ascii="仿宋" w:hAnsi="仿宋" w:eastAsia="仿宋" w:cs="仿宋"/>
          <w:bCs/>
          <w:sz w:val="32"/>
          <w:szCs w:val="32"/>
          <w:highlight w:val="none"/>
          <w:lang w:eastAsia="zh-CN"/>
        </w:rPr>
      </w:pPr>
      <w:r>
        <w:rPr>
          <w:rFonts w:hint="eastAsia" w:ascii="仿宋" w:hAnsi="仿宋" w:eastAsia="仿宋" w:cs="仿宋"/>
          <w:bCs/>
          <w:sz w:val="32"/>
          <w:szCs w:val="32"/>
          <w:highlight w:val="none"/>
          <w:lang w:eastAsia="zh-CN"/>
        </w:rPr>
        <w:drawing>
          <wp:inline distT="0" distB="0" distL="114300" distR="114300">
            <wp:extent cx="5934075" cy="5424170"/>
            <wp:effectExtent l="0" t="0" r="9525" b="11430"/>
            <wp:docPr id="8" name="图片 14" descr="6919840f-9318-4b25-9c1a-88ec6ce0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6919840f-9318-4b25-9c1a-88ec6ce09696"/>
                    <pic:cNvPicPr>
                      <a:picLocks noChangeAspect="1"/>
                    </pic:cNvPicPr>
                  </pic:nvPicPr>
                  <pic:blipFill>
                    <a:blip r:embed="rId7"/>
                    <a:stretch>
                      <a:fillRect/>
                    </a:stretch>
                  </pic:blipFill>
                  <pic:spPr>
                    <a:xfrm>
                      <a:off x="0" y="0"/>
                      <a:ext cx="5934075" cy="5424170"/>
                    </a:xfrm>
                    <a:prstGeom prst="rect">
                      <a:avLst/>
                    </a:prstGeom>
                    <a:noFill/>
                    <a:ln>
                      <a:noFill/>
                    </a:ln>
                  </pic:spPr>
                </pic:pic>
              </a:graphicData>
            </a:graphic>
          </wp:inline>
        </w:drawing>
      </w:r>
    </w:p>
    <w:p w14:paraId="58FE77A3">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图2 事故现场平面</w:t>
      </w:r>
      <w:r>
        <w:rPr>
          <w:rFonts w:hint="eastAsia" w:ascii="宋体" w:hAnsi="宋体" w:cs="宋体"/>
          <w:sz w:val="24"/>
          <w:szCs w:val="24"/>
          <w:highlight w:val="none"/>
          <w:lang w:val="en-US" w:eastAsia="zh-CN"/>
        </w:rPr>
        <w:t>示意</w:t>
      </w:r>
      <w:r>
        <w:rPr>
          <w:rFonts w:hint="eastAsia" w:ascii="宋体" w:hAnsi="宋体" w:eastAsia="宋体" w:cs="宋体"/>
          <w:sz w:val="24"/>
          <w:szCs w:val="24"/>
          <w:highlight w:val="none"/>
          <w:lang w:val="en-US" w:eastAsia="zh-CN"/>
        </w:rPr>
        <w:t>图</w:t>
      </w:r>
    </w:p>
    <w:p w14:paraId="77CFF850">
      <w:pPr>
        <w:pStyle w:val="2"/>
        <w:spacing w:line="360" w:lineRule="auto"/>
        <w:ind w:firstLine="3080" w:firstLineChars="1100"/>
        <w:jc w:val="both"/>
        <w:rPr>
          <w:rFonts w:hint="eastAsia" w:ascii="宋体" w:hAnsi="宋体" w:eastAsia="宋体" w:cs="宋体"/>
          <w:bCs/>
          <w:sz w:val="28"/>
          <w:szCs w:val="28"/>
          <w:highlight w:val="none"/>
        </w:rPr>
      </w:pPr>
    </w:p>
    <w:p w14:paraId="601B25CF">
      <w:pPr>
        <w:pStyle w:val="2"/>
        <w:spacing w:line="360" w:lineRule="auto"/>
        <w:ind w:firstLine="3080" w:firstLineChars="1100"/>
        <w:jc w:val="both"/>
        <w:rPr>
          <w:rFonts w:hint="eastAsia" w:ascii="宋体" w:hAnsi="宋体" w:eastAsia="宋体" w:cs="宋体"/>
          <w:bCs/>
          <w:sz w:val="28"/>
          <w:szCs w:val="28"/>
          <w:highlight w:val="none"/>
        </w:rPr>
      </w:pPr>
      <w:r>
        <w:rPr>
          <w:rFonts w:hint="eastAsia" w:ascii="宋体" w:hAnsi="宋体" w:eastAsia="宋体" w:cs="宋体"/>
          <w:sz w:val="28"/>
          <w:szCs w:val="28"/>
          <w:highlight w:val="none"/>
          <w:lang w:val="en-US" w:eastAsia="zh-CN"/>
        </w:rPr>
        <w:drawing>
          <wp:anchor distT="0" distB="0" distL="114300" distR="114300" simplePos="0" relativeHeight="251664384" behindDoc="0" locked="0" layoutInCell="1" allowOverlap="1">
            <wp:simplePos x="0" y="0"/>
            <wp:positionH relativeFrom="column">
              <wp:posOffset>-81915</wp:posOffset>
            </wp:positionH>
            <wp:positionV relativeFrom="paragraph">
              <wp:posOffset>93345</wp:posOffset>
            </wp:positionV>
            <wp:extent cx="5447665" cy="7308850"/>
            <wp:effectExtent l="0" t="0" r="635" b="6350"/>
            <wp:wrapNone/>
            <wp:docPr id="13" name="图片 13" descr="a3e9c3fd05c32ce056045ad5d77e45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3e9c3fd05c32ce056045ad5d77e45b7"/>
                    <pic:cNvPicPr>
                      <a:picLocks noChangeAspect="1"/>
                    </pic:cNvPicPr>
                  </pic:nvPicPr>
                  <pic:blipFill>
                    <a:blip r:embed="rId8"/>
                    <a:stretch>
                      <a:fillRect/>
                    </a:stretch>
                  </pic:blipFill>
                  <pic:spPr>
                    <a:xfrm>
                      <a:off x="0" y="0"/>
                      <a:ext cx="5447665" cy="7308850"/>
                    </a:xfrm>
                    <a:prstGeom prst="rect">
                      <a:avLst/>
                    </a:prstGeom>
                  </pic:spPr>
                </pic:pic>
              </a:graphicData>
            </a:graphic>
          </wp:anchor>
        </w:drawing>
      </w:r>
    </w:p>
    <w:p w14:paraId="5FFBA2F1">
      <w:pPr>
        <w:pStyle w:val="2"/>
        <w:keepNext w:val="0"/>
        <w:keepLines w:val="0"/>
        <w:pageBreakBefore w:val="0"/>
        <w:widowControl w:val="0"/>
        <w:kinsoku/>
        <w:wordWrap/>
        <w:overflowPunct/>
        <w:topLinePunct w:val="0"/>
        <w:autoSpaceDE/>
        <w:autoSpaceDN/>
        <w:bidi w:val="0"/>
        <w:adjustRightInd/>
        <w:spacing w:line="560" w:lineRule="exact"/>
        <w:ind w:firstLine="640" w:firstLineChars="200"/>
        <w:jc w:val="both"/>
        <w:textAlignment w:val="auto"/>
        <w:rPr>
          <w:rFonts w:hint="eastAsia" w:ascii="仿宋_GB2312" w:hAnsi="仿宋_GB2312" w:eastAsia="仿宋_GB2312" w:cs="仿宋_GB2312"/>
          <w:bCs/>
          <w:color w:val="auto"/>
          <w:kern w:val="2"/>
          <w:sz w:val="32"/>
          <w:szCs w:val="32"/>
          <w:highlight w:val="none"/>
          <w:u w:val="none"/>
          <w:lang w:val="en-US" w:eastAsia="zh-CN" w:bidi="ar-SA"/>
        </w:rPr>
      </w:pPr>
    </w:p>
    <w:p w14:paraId="46650030">
      <w:pPr>
        <w:pStyle w:val="2"/>
        <w:keepNext w:val="0"/>
        <w:keepLines w:val="0"/>
        <w:pageBreakBefore w:val="0"/>
        <w:widowControl w:val="0"/>
        <w:kinsoku/>
        <w:wordWrap/>
        <w:overflowPunct/>
        <w:topLinePunct w:val="0"/>
        <w:autoSpaceDE/>
        <w:autoSpaceDN/>
        <w:bidi w:val="0"/>
        <w:adjustRightInd/>
        <w:spacing w:line="560" w:lineRule="exact"/>
        <w:ind w:firstLine="640" w:firstLineChars="200"/>
        <w:jc w:val="both"/>
        <w:textAlignment w:val="auto"/>
        <w:rPr>
          <w:rFonts w:hint="eastAsia" w:ascii="仿宋_GB2312" w:hAnsi="仿宋_GB2312" w:eastAsia="仿宋_GB2312" w:cs="仿宋_GB2312"/>
          <w:bCs/>
          <w:color w:val="auto"/>
          <w:kern w:val="2"/>
          <w:sz w:val="32"/>
          <w:szCs w:val="32"/>
          <w:highlight w:val="none"/>
          <w:u w:val="none"/>
          <w:lang w:val="en-US" w:eastAsia="zh-CN" w:bidi="ar-SA"/>
        </w:rPr>
      </w:pPr>
    </w:p>
    <w:p w14:paraId="60332801">
      <w:pPr>
        <w:pStyle w:val="2"/>
        <w:keepNext w:val="0"/>
        <w:keepLines w:val="0"/>
        <w:pageBreakBefore w:val="0"/>
        <w:widowControl w:val="0"/>
        <w:kinsoku/>
        <w:wordWrap/>
        <w:overflowPunct/>
        <w:topLinePunct w:val="0"/>
        <w:autoSpaceDE/>
        <w:autoSpaceDN/>
        <w:bidi w:val="0"/>
        <w:adjustRightInd/>
        <w:spacing w:line="560" w:lineRule="exact"/>
        <w:ind w:firstLine="640" w:firstLineChars="200"/>
        <w:jc w:val="both"/>
        <w:textAlignment w:val="auto"/>
        <w:rPr>
          <w:rFonts w:hint="eastAsia" w:ascii="仿宋_GB2312" w:hAnsi="仿宋_GB2312" w:eastAsia="仿宋_GB2312" w:cs="仿宋_GB2312"/>
          <w:bCs/>
          <w:color w:val="auto"/>
          <w:kern w:val="2"/>
          <w:sz w:val="32"/>
          <w:szCs w:val="32"/>
          <w:highlight w:val="none"/>
          <w:u w:val="none"/>
          <w:lang w:val="en-US" w:eastAsia="zh-CN" w:bidi="ar-SA"/>
        </w:rPr>
      </w:pPr>
    </w:p>
    <w:p w14:paraId="227E3F8F">
      <w:pPr>
        <w:pStyle w:val="2"/>
        <w:keepNext w:val="0"/>
        <w:keepLines w:val="0"/>
        <w:pageBreakBefore w:val="0"/>
        <w:widowControl w:val="0"/>
        <w:kinsoku/>
        <w:wordWrap/>
        <w:overflowPunct/>
        <w:topLinePunct w:val="0"/>
        <w:autoSpaceDE/>
        <w:autoSpaceDN/>
        <w:bidi w:val="0"/>
        <w:adjustRightInd/>
        <w:spacing w:line="560" w:lineRule="exact"/>
        <w:ind w:firstLine="640" w:firstLineChars="200"/>
        <w:jc w:val="both"/>
        <w:textAlignment w:val="auto"/>
        <w:rPr>
          <w:rFonts w:hint="eastAsia" w:ascii="仿宋_GB2312" w:hAnsi="仿宋_GB2312" w:eastAsia="仿宋_GB2312" w:cs="仿宋_GB2312"/>
          <w:bCs/>
          <w:color w:val="auto"/>
          <w:kern w:val="2"/>
          <w:sz w:val="32"/>
          <w:szCs w:val="32"/>
          <w:highlight w:val="none"/>
          <w:u w:val="none"/>
          <w:lang w:val="en-US" w:eastAsia="zh-CN" w:bidi="ar-SA"/>
        </w:rPr>
      </w:pPr>
    </w:p>
    <w:p w14:paraId="56421C76">
      <w:pPr>
        <w:pStyle w:val="2"/>
        <w:keepNext w:val="0"/>
        <w:keepLines w:val="0"/>
        <w:pageBreakBefore w:val="0"/>
        <w:widowControl w:val="0"/>
        <w:kinsoku/>
        <w:wordWrap/>
        <w:overflowPunct/>
        <w:topLinePunct w:val="0"/>
        <w:autoSpaceDE/>
        <w:autoSpaceDN/>
        <w:bidi w:val="0"/>
        <w:adjustRightInd/>
        <w:spacing w:line="560" w:lineRule="exact"/>
        <w:ind w:firstLine="640" w:firstLineChars="200"/>
        <w:jc w:val="both"/>
        <w:textAlignment w:val="auto"/>
        <w:rPr>
          <w:rFonts w:hint="default" w:ascii="仿宋_GB2312" w:hAnsi="仿宋_GB2312" w:eastAsia="仿宋_GB2312" w:cs="仿宋_GB2312"/>
          <w:bCs/>
          <w:color w:val="auto"/>
          <w:kern w:val="2"/>
          <w:sz w:val="32"/>
          <w:szCs w:val="32"/>
          <w:highlight w:val="none"/>
          <w:u w:val="none"/>
          <w:lang w:val="en-US" w:eastAsia="zh-CN" w:bidi="ar-SA"/>
        </w:rPr>
      </w:pPr>
    </w:p>
    <w:p w14:paraId="1F18EFE9">
      <w:pPr>
        <w:pStyle w:val="2"/>
        <w:keepNext w:val="0"/>
        <w:keepLines w:val="0"/>
        <w:pageBreakBefore w:val="0"/>
        <w:widowControl w:val="0"/>
        <w:kinsoku/>
        <w:wordWrap/>
        <w:overflowPunct/>
        <w:topLinePunct w:val="0"/>
        <w:autoSpaceDE/>
        <w:autoSpaceDN/>
        <w:bidi w:val="0"/>
        <w:adjustRightInd/>
        <w:spacing w:line="560" w:lineRule="exact"/>
        <w:ind w:firstLine="640" w:firstLineChars="200"/>
        <w:jc w:val="both"/>
        <w:textAlignment w:val="auto"/>
        <w:rPr>
          <w:rFonts w:hint="eastAsia" w:ascii="仿宋" w:hAnsi="仿宋" w:eastAsia="仿宋" w:cs="仿宋"/>
          <w:bCs/>
          <w:sz w:val="32"/>
          <w:szCs w:val="32"/>
          <w:highlight w:val="yellow"/>
        </w:rPr>
      </w:pPr>
    </w:p>
    <w:p w14:paraId="0334D61A">
      <w:pPr>
        <w:pStyle w:val="2"/>
        <w:keepNext w:val="0"/>
        <w:keepLines w:val="0"/>
        <w:pageBreakBefore w:val="0"/>
        <w:widowControl w:val="0"/>
        <w:kinsoku/>
        <w:wordWrap/>
        <w:overflowPunct/>
        <w:topLinePunct w:val="0"/>
        <w:autoSpaceDE/>
        <w:autoSpaceDN/>
        <w:bidi w:val="0"/>
        <w:adjustRightInd/>
        <w:spacing w:line="560" w:lineRule="exact"/>
        <w:jc w:val="both"/>
        <w:textAlignment w:val="auto"/>
        <w:rPr>
          <w:rFonts w:hint="eastAsia" w:ascii="宋体" w:hAnsi="宋体" w:eastAsia="宋体" w:cs="宋体"/>
          <w:sz w:val="28"/>
          <w:szCs w:val="28"/>
          <w:highlight w:val="none"/>
          <w:lang w:val="en-US" w:eastAsia="zh-CN"/>
        </w:rPr>
      </w:pPr>
    </w:p>
    <w:p w14:paraId="116228E9">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5564D123">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50CE0610">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58816737">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3F974DCD">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78486C74">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4F498BBF">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723BA827">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35D0E3D5">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0335460E">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6679452B">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r>
        <w:rPr>
          <w:rFonts w:hint="eastAsia" w:ascii="宋体" w:hAnsi="宋体" w:cs="宋体"/>
          <w:sz w:val="28"/>
          <w:szCs w:val="28"/>
          <w:highlight w:val="none"/>
          <w:lang w:val="en-US" w:eastAsia="zh-CN"/>
        </w:rPr>
        <w:t xml:space="preserve"> </w:t>
      </w:r>
    </w:p>
    <w:p w14:paraId="55C71969">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1FE1156F">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00FC19DC">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图3 事故现场</w:t>
      </w:r>
      <w:r>
        <w:rPr>
          <w:rFonts w:hint="eastAsia" w:ascii="宋体" w:hAnsi="宋体" w:cs="宋体"/>
          <w:sz w:val="24"/>
          <w:szCs w:val="24"/>
          <w:highlight w:val="none"/>
          <w:lang w:val="en-US" w:eastAsia="zh-CN"/>
        </w:rPr>
        <w:t>图（从下向上看）</w:t>
      </w:r>
    </w:p>
    <w:p w14:paraId="09B38F35">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6E52FDAA">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r>
        <w:rPr>
          <w:rFonts w:hint="eastAsia" w:ascii="宋体" w:hAnsi="宋体" w:eastAsia="宋体" w:cs="宋体"/>
          <w:sz w:val="28"/>
          <w:szCs w:val="28"/>
          <w:highlight w:val="none"/>
          <w:lang w:val="en-US" w:eastAsia="zh-CN"/>
        </w:rPr>
        <w:drawing>
          <wp:anchor distT="0" distB="0" distL="114300" distR="114300" simplePos="0" relativeHeight="251662336" behindDoc="0" locked="0" layoutInCell="1" allowOverlap="1">
            <wp:simplePos x="0" y="0"/>
            <wp:positionH relativeFrom="column">
              <wp:posOffset>137160</wp:posOffset>
            </wp:positionH>
            <wp:positionV relativeFrom="paragraph">
              <wp:posOffset>277495</wp:posOffset>
            </wp:positionV>
            <wp:extent cx="5217160" cy="3911600"/>
            <wp:effectExtent l="0" t="0" r="2540" b="0"/>
            <wp:wrapNone/>
            <wp:docPr id="15" name="图片 15" descr="0aa8c2354b006d7c8e2c03f0bcd20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aa8c2354b006d7c8e2c03f0bcd20f6e"/>
                    <pic:cNvPicPr>
                      <a:picLocks noChangeAspect="1"/>
                    </pic:cNvPicPr>
                  </pic:nvPicPr>
                  <pic:blipFill>
                    <a:blip r:embed="rId9"/>
                    <a:stretch>
                      <a:fillRect/>
                    </a:stretch>
                  </pic:blipFill>
                  <pic:spPr>
                    <a:xfrm>
                      <a:off x="0" y="0"/>
                      <a:ext cx="5217160" cy="3911600"/>
                    </a:xfrm>
                    <a:prstGeom prst="rect">
                      <a:avLst/>
                    </a:prstGeom>
                  </pic:spPr>
                </pic:pic>
              </a:graphicData>
            </a:graphic>
          </wp:anchor>
        </w:drawing>
      </w:r>
    </w:p>
    <w:p w14:paraId="5BB2ED0B">
      <w:pPr>
        <w:pStyle w:val="2"/>
        <w:keepNext w:val="0"/>
        <w:keepLines w:val="0"/>
        <w:pageBreakBefore w:val="0"/>
        <w:widowControl w:val="0"/>
        <w:kinsoku/>
        <w:wordWrap/>
        <w:overflowPunct/>
        <w:topLinePunct w:val="0"/>
        <w:autoSpaceDE/>
        <w:autoSpaceDN/>
        <w:bidi w:val="0"/>
        <w:adjustRightInd/>
        <w:spacing w:line="560" w:lineRule="exact"/>
        <w:jc w:val="both"/>
        <w:textAlignment w:val="auto"/>
        <w:rPr>
          <w:rFonts w:hint="eastAsia" w:ascii="宋体" w:hAnsi="宋体" w:cs="宋体"/>
          <w:sz w:val="28"/>
          <w:szCs w:val="28"/>
          <w:highlight w:val="none"/>
          <w:lang w:val="en-US" w:eastAsia="zh-CN"/>
        </w:rPr>
      </w:pPr>
    </w:p>
    <w:p w14:paraId="783D1FBB">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1E18D553">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4B5E5992">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79843225">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20CBA01B">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17B35A91">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573ADBEA">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7D48B49F">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57421622">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4721305A">
      <w:pPr>
        <w:pStyle w:val="2"/>
        <w:keepNext w:val="0"/>
        <w:keepLines w:val="0"/>
        <w:pageBreakBefore w:val="0"/>
        <w:widowControl w:val="0"/>
        <w:kinsoku/>
        <w:wordWrap/>
        <w:overflowPunct/>
        <w:topLinePunct w:val="0"/>
        <w:autoSpaceDE/>
        <w:autoSpaceDN/>
        <w:bidi w:val="0"/>
        <w:adjustRightInd/>
        <w:spacing w:line="560" w:lineRule="exact"/>
        <w:jc w:val="both"/>
        <w:textAlignment w:val="auto"/>
        <w:rPr>
          <w:rFonts w:hint="eastAsia" w:ascii="宋体" w:hAnsi="宋体" w:cs="宋体"/>
          <w:sz w:val="28"/>
          <w:szCs w:val="28"/>
          <w:highlight w:val="none"/>
          <w:lang w:val="en-US" w:eastAsia="zh-CN"/>
        </w:rPr>
      </w:pPr>
    </w:p>
    <w:p w14:paraId="61D4450E">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anchor distT="0" distB="0" distL="114300" distR="114300" simplePos="0" relativeHeight="251666432" behindDoc="0" locked="0" layoutInCell="1" allowOverlap="1">
            <wp:simplePos x="0" y="0"/>
            <wp:positionH relativeFrom="column">
              <wp:posOffset>74295</wp:posOffset>
            </wp:positionH>
            <wp:positionV relativeFrom="page">
              <wp:posOffset>5529580</wp:posOffset>
            </wp:positionV>
            <wp:extent cx="5376545" cy="3609340"/>
            <wp:effectExtent l="0" t="0" r="8255" b="10160"/>
            <wp:wrapNone/>
            <wp:docPr id="14" name="图片 59" descr="ffc5d419-6aec-49e5-8a8f-04ae14a42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9" descr="ffc5d419-6aec-49e5-8a8f-04ae14a427ab"/>
                    <pic:cNvPicPr>
                      <a:picLocks noChangeAspect="1"/>
                    </pic:cNvPicPr>
                  </pic:nvPicPr>
                  <pic:blipFill>
                    <a:blip r:embed="rId10"/>
                    <a:stretch>
                      <a:fillRect/>
                    </a:stretch>
                  </pic:blipFill>
                  <pic:spPr>
                    <a:xfrm>
                      <a:off x="0" y="0"/>
                      <a:ext cx="5376545" cy="3609340"/>
                    </a:xfrm>
                    <a:prstGeom prst="rect">
                      <a:avLst/>
                    </a:prstGeom>
                    <a:noFill/>
                    <a:ln>
                      <a:noFill/>
                    </a:ln>
                  </pic:spPr>
                </pic:pic>
              </a:graphicData>
            </a:graphic>
          </wp:anchor>
        </w:drawing>
      </w:r>
      <w:r>
        <w:rPr>
          <w:rFonts w:hint="eastAsia" w:ascii="宋体" w:hAnsi="宋体" w:eastAsia="宋体" w:cs="宋体"/>
          <w:sz w:val="24"/>
          <w:szCs w:val="24"/>
          <w:highlight w:val="none"/>
          <w:lang w:val="en-US" w:eastAsia="zh-CN"/>
        </w:rPr>
        <w:t>图4事故现场</w:t>
      </w:r>
      <w:r>
        <w:rPr>
          <w:rFonts w:hint="eastAsia" w:ascii="宋体" w:hAnsi="宋体" w:cs="宋体"/>
          <w:sz w:val="24"/>
          <w:szCs w:val="24"/>
          <w:highlight w:val="none"/>
          <w:lang w:val="en-US" w:eastAsia="zh-CN"/>
        </w:rPr>
        <w:t>图（临时封堵栏杆）</w:t>
      </w:r>
    </w:p>
    <w:p w14:paraId="661D690A">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76B15836">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169D4839">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66D1EDAF">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29DE4B9E">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3C8C77BA">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7EFE915B">
      <w:pPr>
        <w:pStyle w:val="2"/>
        <w:keepNext w:val="0"/>
        <w:keepLines w:val="0"/>
        <w:pageBreakBefore w:val="0"/>
        <w:widowControl w:val="0"/>
        <w:kinsoku/>
        <w:wordWrap/>
        <w:overflowPunct/>
        <w:topLinePunct w:val="0"/>
        <w:autoSpaceDE/>
        <w:autoSpaceDN/>
        <w:bidi w:val="0"/>
        <w:adjustRightInd/>
        <w:spacing w:line="560" w:lineRule="exact"/>
        <w:jc w:val="both"/>
        <w:textAlignment w:val="auto"/>
        <w:rPr>
          <w:rFonts w:hint="eastAsia" w:ascii="宋体" w:hAnsi="宋体" w:eastAsia="宋体" w:cs="宋体"/>
          <w:sz w:val="28"/>
          <w:szCs w:val="28"/>
          <w:highlight w:val="none"/>
          <w:lang w:val="en-US" w:eastAsia="zh-CN"/>
        </w:rPr>
      </w:pPr>
    </w:p>
    <w:p w14:paraId="33AC29AD">
      <w:pPr>
        <w:pStyle w:val="2"/>
        <w:keepNext w:val="0"/>
        <w:keepLines w:val="0"/>
        <w:pageBreakBefore w:val="0"/>
        <w:widowControl w:val="0"/>
        <w:kinsoku/>
        <w:wordWrap/>
        <w:overflowPunct/>
        <w:topLinePunct w:val="0"/>
        <w:autoSpaceDE/>
        <w:autoSpaceDN/>
        <w:bidi w:val="0"/>
        <w:adjustRightInd/>
        <w:spacing w:line="560" w:lineRule="exact"/>
        <w:ind w:firstLine="3080" w:firstLineChars="1100"/>
        <w:jc w:val="both"/>
        <w:textAlignment w:val="auto"/>
        <w:rPr>
          <w:rFonts w:hint="eastAsia" w:ascii="宋体" w:hAnsi="宋体" w:cs="宋体"/>
          <w:sz w:val="28"/>
          <w:szCs w:val="28"/>
          <w:highlight w:val="none"/>
          <w:lang w:val="en-US" w:eastAsia="zh-CN"/>
        </w:rPr>
      </w:pPr>
      <w:r>
        <w:rPr>
          <w:rFonts w:hint="eastAsia" w:ascii="宋体" w:hAnsi="宋体" w:cs="宋体"/>
          <w:sz w:val="28"/>
          <w:szCs w:val="28"/>
          <w:highlight w:val="none"/>
          <w:lang w:val="en-US" w:eastAsia="zh-CN"/>
        </w:rPr>
        <w:t>图</w:t>
      </w:r>
    </w:p>
    <w:p w14:paraId="64D9F2EA">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2EB196D9">
      <w:pPr>
        <w:pStyle w:val="2"/>
        <w:keepNext w:val="0"/>
        <w:keepLines w:val="0"/>
        <w:pageBreakBefore w:val="0"/>
        <w:widowControl w:val="0"/>
        <w:kinsoku/>
        <w:wordWrap/>
        <w:overflowPunct/>
        <w:topLinePunct w:val="0"/>
        <w:autoSpaceDE/>
        <w:autoSpaceDN/>
        <w:bidi w:val="0"/>
        <w:adjustRightInd/>
        <w:spacing w:line="560" w:lineRule="exact"/>
        <w:ind w:firstLine="3360" w:firstLineChars="1200"/>
        <w:jc w:val="both"/>
        <w:textAlignment w:val="auto"/>
        <w:rPr>
          <w:rFonts w:hint="eastAsia" w:ascii="宋体" w:hAnsi="宋体" w:cs="宋体"/>
          <w:sz w:val="28"/>
          <w:szCs w:val="28"/>
          <w:highlight w:val="none"/>
          <w:lang w:val="en-US" w:eastAsia="zh-CN"/>
        </w:rPr>
      </w:pPr>
    </w:p>
    <w:p w14:paraId="5A8E0DBA">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图5事故现场</w:t>
      </w:r>
      <w:r>
        <w:rPr>
          <w:rFonts w:hint="eastAsia" w:ascii="宋体" w:hAnsi="宋体" w:cs="宋体"/>
          <w:sz w:val="24"/>
          <w:szCs w:val="24"/>
          <w:highlight w:val="none"/>
          <w:lang w:val="en-US" w:eastAsia="zh-CN"/>
        </w:rPr>
        <w:t>图（从上向下看）</w:t>
      </w:r>
    </w:p>
    <w:p w14:paraId="7ADC2C5D">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r>
        <w:rPr>
          <w:rFonts w:hint="eastAsia" w:ascii="宋体" w:hAnsi="宋体" w:eastAsia="宋体" w:cs="宋体"/>
          <w:bCs/>
          <w:sz w:val="28"/>
          <w:szCs w:val="28"/>
          <w:highlight w:val="none"/>
          <w:lang w:val="en-US" w:eastAsia="zh-CN"/>
        </w:rPr>
        <w:drawing>
          <wp:anchor distT="0" distB="0" distL="114300" distR="114300" simplePos="0" relativeHeight="251667456" behindDoc="0" locked="0" layoutInCell="1" allowOverlap="1">
            <wp:simplePos x="0" y="0"/>
            <wp:positionH relativeFrom="column">
              <wp:posOffset>-103505</wp:posOffset>
            </wp:positionH>
            <wp:positionV relativeFrom="page">
              <wp:posOffset>1230630</wp:posOffset>
            </wp:positionV>
            <wp:extent cx="5450205" cy="7622540"/>
            <wp:effectExtent l="0" t="0" r="17145" b="16510"/>
            <wp:wrapNone/>
            <wp:docPr id="20" name="图片 20" descr="355bc34008e9dea3cad961359875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55bc34008e9dea3cad9613598756713"/>
                    <pic:cNvPicPr>
                      <a:picLocks noChangeAspect="1"/>
                    </pic:cNvPicPr>
                  </pic:nvPicPr>
                  <pic:blipFill>
                    <a:blip r:embed="rId11"/>
                    <a:stretch>
                      <a:fillRect/>
                    </a:stretch>
                  </pic:blipFill>
                  <pic:spPr>
                    <a:xfrm>
                      <a:off x="0" y="0"/>
                      <a:ext cx="5450205" cy="7622540"/>
                    </a:xfrm>
                    <a:prstGeom prst="rect">
                      <a:avLst/>
                    </a:prstGeom>
                  </pic:spPr>
                </pic:pic>
              </a:graphicData>
            </a:graphic>
          </wp:anchor>
        </w:drawing>
      </w:r>
    </w:p>
    <w:p w14:paraId="65D9622D">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8"/>
          <w:szCs w:val="28"/>
          <w:highlight w:val="none"/>
          <w:lang w:val="en-US" w:eastAsia="zh-CN"/>
        </w:rPr>
      </w:pPr>
    </w:p>
    <w:p w14:paraId="024D3C33">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42EAC447">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4608629E">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018AD18B">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03CC559F">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182D4D71">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0636CFEA">
      <w:pPr>
        <w:pStyle w:val="2"/>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cs="宋体"/>
          <w:sz w:val="28"/>
          <w:szCs w:val="28"/>
          <w:highlight w:val="none"/>
          <w:lang w:val="en-US" w:eastAsia="zh-CN"/>
        </w:rPr>
      </w:pPr>
    </w:p>
    <w:p w14:paraId="0E34D2FC">
      <w:pPr>
        <w:pStyle w:val="2"/>
        <w:keepNext w:val="0"/>
        <w:keepLines w:val="0"/>
        <w:pageBreakBefore w:val="0"/>
        <w:widowControl w:val="0"/>
        <w:kinsoku/>
        <w:wordWrap/>
        <w:overflowPunct/>
        <w:topLinePunct w:val="0"/>
        <w:autoSpaceDE/>
        <w:autoSpaceDN/>
        <w:bidi w:val="0"/>
        <w:adjustRightInd/>
        <w:spacing w:line="560" w:lineRule="exact"/>
        <w:jc w:val="both"/>
        <w:textAlignment w:val="auto"/>
        <w:rPr>
          <w:rFonts w:hint="eastAsia" w:ascii="宋体" w:hAnsi="宋体" w:cs="宋体"/>
          <w:sz w:val="28"/>
          <w:szCs w:val="28"/>
          <w:highlight w:val="none"/>
          <w:lang w:val="en-US" w:eastAsia="zh-CN"/>
        </w:rPr>
      </w:pPr>
    </w:p>
    <w:p w14:paraId="78DE6D2B">
      <w:pPr>
        <w:pStyle w:val="2"/>
        <w:spacing w:line="360" w:lineRule="auto"/>
        <w:ind w:firstLine="3360" w:firstLineChars="1200"/>
        <w:jc w:val="both"/>
        <w:rPr>
          <w:rFonts w:hint="eastAsia" w:ascii="宋体" w:hAnsi="宋体" w:eastAsia="宋体" w:cs="宋体"/>
          <w:bCs/>
          <w:sz w:val="28"/>
          <w:szCs w:val="28"/>
          <w:highlight w:val="none"/>
          <w:lang w:val="en-US" w:eastAsia="zh-CN"/>
        </w:rPr>
      </w:pPr>
    </w:p>
    <w:p w14:paraId="5D912359">
      <w:pPr>
        <w:pStyle w:val="2"/>
        <w:spacing w:line="360" w:lineRule="auto"/>
        <w:ind w:firstLine="3360" w:firstLineChars="1200"/>
        <w:jc w:val="both"/>
        <w:rPr>
          <w:rFonts w:hint="eastAsia" w:ascii="宋体" w:hAnsi="宋体" w:eastAsia="宋体" w:cs="宋体"/>
          <w:bCs/>
          <w:sz w:val="28"/>
          <w:szCs w:val="28"/>
          <w:highlight w:val="none"/>
          <w:lang w:val="en-US" w:eastAsia="zh-CN"/>
        </w:rPr>
      </w:pPr>
    </w:p>
    <w:p w14:paraId="1E3A12E4">
      <w:pPr>
        <w:pStyle w:val="2"/>
        <w:spacing w:line="360" w:lineRule="auto"/>
        <w:ind w:firstLine="3360" w:firstLineChars="1200"/>
        <w:jc w:val="both"/>
        <w:rPr>
          <w:rFonts w:hint="eastAsia" w:ascii="宋体" w:hAnsi="宋体" w:eastAsia="宋体" w:cs="宋体"/>
          <w:bCs/>
          <w:sz w:val="28"/>
          <w:szCs w:val="28"/>
          <w:highlight w:val="none"/>
          <w:lang w:val="en-US" w:eastAsia="zh-CN"/>
        </w:rPr>
      </w:pPr>
    </w:p>
    <w:p w14:paraId="038A260D">
      <w:pPr>
        <w:pStyle w:val="2"/>
        <w:spacing w:line="360" w:lineRule="auto"/>
        <w:ind w:firstLine="3360" w:firstLineChars="1200"/>
        <w:jc w:val="both"/>
        <w:rPr>
          <w:rFonts w:hint="eastAsia" w:ascii="宋体" w:hAnsi="宋体" w:eastAsia="宋体" w:cs="宋体"/>
          <w:bCs/>
          <w:sz w:val="28"/>
          <w:szCs w:val="28"/>
          <w:highlight w:val="none"/>
          <w:lang w:val="en-US" w:eastAsia="zh-CN"/>
        </w:rPr>
      </w:pPr>
    </w:p>
    <w:p w14:paraId="50484823">
      <w:pPr>
        <w:pStyle w:val="2"/>
        <w:spacing w:line="360" w:lineRule="auto"/>
        <w:ind w:firstLine="3360" w:firstLineChars="1200"/>
        <w:jc w:val="both"/>
        <w:rPr>
          <w:rFonts w:hint="eastAsia" w:ascii="宋体" w:hAnsi="宋体" w:eastAsia="宋体" w:cs="宋体"/>
          <w:bCs/>
          <w:sz w:val="28"/>
          <w:szCs w:val="28"/>
          <w:highlight w:val="none"/>
          <w:lang w:val="en-US" w:eastAsia="zh-CN"/>
        </w:rPr>
      </w:pPr>
    </w:p>
    <w:p w14:paraId="48E27748">
      <w:pPr>
        <w:pStyle w:val="2"/>
        <w:spacing w:line="360" w:lineRule="auto"/>
        <w:ind w:firstLine="3360" w:firstLineChars="1200"/>
        <w:jc w:val="both"/>
        <w:rPr>
          <w:rFonts w:hint="eastAsia" w:ascii="宋体" w:hAnsi="宋体" w:eastAsia="宋体" w:cs="宋体"/>
          <w:bCs/>
          <w:sz w:val="28"/>
          <w:szCs w:val="28"/>
          <w:highlight w:val="none"/>
          <w:lang w:val="en-US" w:eastAsia="zh-CN"/>
        </w:rPr>
      </w:pPr>
    </w:p>
    <w:p w14:paraId="6EB5594C">
      <w:pPr>
        <w:pStyle w:val="2"/>
        <w:spacing w:line="360" w:lineRule="auto"/>
        <w:ind w:firstLine="3360" w:firstLineChars="1200"/>
        <w:jc w:val="both"/>
        <w:rPr>
          <w:rFonts w:hint="eastAsia" w:ascii="宋体" w:hAnsi="宋体" w:eastAsia="宋体" w:cs="宋体"/>
          <w:bCs/>
          <w:sz w:val="28"/>
          <w:szCs w:val="28"/>
          <w:highlight w:val="none"/>
          <w:lang w:val="en-US" w:eastAsia="zh-CN"/>
        </w:rPr>
      </w:pPr>
    </w:p>
    <w:p w14:paraId="4D264E89">
      <w:pPr>
        <w:pStyle w:val="2"/>
        <w:spacing w:line="360" w:lineRule="auto"/>
        <w:ind w:firstLine="3360" w:firstLineChars="1200"/>
        <w:jc w:val="both"/>
        <w:rPr>
          <w:rFonts w:hint="eastAsia" w:ascii="宋体" w:hAnsi="宋体" w:eastAsia="宋体" w:cs="宋体"/>
          <w:bCs/>
          <w:sz w:val="28"/>
          <w:szCs w:val="28"/>
          <w:highlight w:val="none"/>
          <w:lang w:val="en-US" w:eastAsia="zh-CN"/>
        </w:rPr>
      </w:pPr>
    </w:p>
    <w:p w14:paraId="572DF467">
      <w:pPr>
        <w:pStyle w:val="2"/>
        <w:spacing w:line="360" w:lineRule="auto"/>
        <w:ind w:firstLine="3360" w:firstLineChars="1200"/>
        <w:jc w:val="both"/>
        <w:rPr>
          <w:rFonts w:hint="eastAsia" w:ascii="宋体" w:hAnsi="宋体" w:eastAsia="宋体" w:cs="宋体"/>
          <w:bCs/>
          <w:sz w:val="28"/>
          <w:szCs w:val="28"/>
          <w:highlight w:val="none"/>
          <w:lang w:val="en-US" w:eastAsia="zh-CN"/>
        </w:rPr>
      </w:pPr>
    </w:p>
    <w:p w14:paraId="0EB3B22D">
      <w:pPr>
        <w:pStyle w:val="2"/>
        <w:spacing w:line="360" w:lineRule="auto"/>
        <w:ind w:firstLine="3360" w:firstLineChars="1200"/>
        <w:jc w:val="both"/>
        <w:rPr>
          <w:rFonts w:hint="eastAsia" w:ascii="宋体" w:hAnsi="宋体" w:eastAsia="宋体" w:cs="宋体"/>
          <w:bCs/>
          <w:sz w:val="28"/>
          <w:szCs w:val="28"/>
          <w:highlight w:val="none"/>
          <w:lang w:val="en-US" w:eastAsia="zh-CN"/>
        </w:rPr>
      </w:pPr>
    </w:p>
    <w:p w14:paraId="110FCE2A">
      <w:pPr>
        <w:pStyle w:val="2"/>
        <w:spacing w:line="360" w:lineRule="auto"/>
        <w:ind w:firstLine="3360" w:firstLineChars="1200"/>
        <w:jc w:val="both"/>
        <w:rPr>
          <w:rFonts w:hint="eastAsia" w:ascii="宋体" w:hAnsi="宋体" w:eastAsia="宋体" w:cs="宋体"/>
          <w:bCs/>
          <w:sz w:val="28"/>
          <w:szCs w:val="28"/>
          <w:highlight w:val="none"/>
          <w:lang w:val="en-US" w:eastAsia="zh-CN"/>
        </w:rPr>
      </w:pPr>
    </w:p>
    <w:p w14:paraId="7E6D704E">
      <w:pPr>
        <w:pStyle w:val="2"/>
        <w:spacing w:line="360" w:lineRule="auto"/>
        <w:ind w:firstLine="3360" w:firstLineChars="1200"/>
        <w:jc w:val="both"/>
        <w:rPr>
          <w:rFonts w:hint="eastAsia" w:ascii="宋体" w:hAnsi="宋体" w:cs="宋体"/>
          <w:sz w:val="28"/>
          <w:szCs w:val="28"/>
          <w:highlight w:val="none"/>
          <w:lang w:val="en-US" w:eastAsia="zh-CN"/>
        </w:rPr>
      </w:pPr>
    </w:p>
    <w:p w14:paraId="43F297BA">
      <w:pPr>
        <w:pStyle w:val="2"/>
        <w:spacing w:line="360" w:lineRule="auto"/>
        <w:ind w:firstLine="3360" w:firstLineChars="1200"/>
        <w:jc w:val="both"/>
        <w:rPr>
          <w:rFonts w:hint="eastAsia" w:ascii="宋体" w:hAnsi="宋体" w:cs="宋体"/>
          <w:sz w:val="28"/>
          <w:szCs w:val="28"/>
          <w:highlight w:val="none"/>
          <w:lang w:val="en-US" w:eastAsia="zh-CN"/>
        </w:rPr>
      </w:pPr>
    </w:p>
    <w:p w14:paraId="0AA956EC">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图6事故现场</w:t>
      </w:r>
      <w:r>
        <w:rPr>
          <w:rFonts w:hint="eastAsia" w:ascii="宋体" w:hAnsi="宋体" w:cs="宋体"/>
          <w:sz w:val="24"/>
          <w:szCs w:val="24"/>
          <w:highlight w:val="none"/>
          <w:lang w:val="en-US" w:eastAsia="zh-CN"/>
        </w:rPr>
        <w:t>图（建筑材料和垃圾）</w:t>
      </w:r>
    </w:p>
    <w:p w14:paraId="3D86E6B3">
      <w:pPr>
        <w:pStyle w:val="2"/>
        <w:spacing w:line="360" w:lineRule="auto"/>
        <w:ind w:firstLine="3360" w:firstLineChars="1200"/>
        <w:jc w:val="both"/>
        <w:rPr>
          <w:rFonts w:hint="default" w:ascii="宋体" w:hAnsi="宋体" w:eastAsia="宋体" w:cs="宋体"/>
          <w:bCs/>
          <w:sz w:val="28"/>
          <w:szCs w:val="28"/>
          <w:highlight w:val="none"/>
          <w:lang w:val="en-US" w:eastAsia="zh-CN"/>
        </w:rPr>
      </w:pPr>
    </w:p>
    <w:p w14:paraId="0AF8A547">
      <w:pPr>
        <w:pStyle w:val="2"/>
        <w:spacing w:line="360" w:lineRule="auto"/>
        <w:ind w:firstLine="3360" w:firstLineChars="1200"/>
        <w:jc w:val="both"/>
        <w:rPr>
          <w:rFonts w:hint="default" w:ascii="宋体" w:hAnsi="宋体" w:eastAsia="宋体" w:cs="宋体"/>
          <w:bCs/>
          <w:sz w:val="28"/>
          <w:szCs w:val="28"/>
          <w:highlight w:val="none"/>
          <w:lang w:val="en-US" w:eastAsia="zh-CN"/>
        </w:rPr>
      </w:pPr>
      <w:r>
        <w:rPr>
          <w:rFonts w:hint="eastAsia" w:ascii="宋体" w:hAnsi="宋体" w:eastAsia="宋体" w:cs="宋体"/>
          <w:sz w:val="28"/>
          <w:szCs w:val="28"/>
          <w:highlight w:val="none"/>
          <w:lang w:val="en-US" w:eastAsia="zh-CN"/>
        </w:rPr>
        <w:drawing>
          <wp:anchor distT="0" distB="0" distL="114300" distR="114300" simplePos="0" relativeHeight="251660288" behindDoc="0" locked="0" layoutInCell="1" allowOverlap="1">
            <wp:simplePos x="0" y="0"/>
            <wp:positionH relativeFrom="column">
              <wp:posOffset>170180</wp:posOffset>
            </wp:positionH>
            <wp:positionV relativeFrom="page">
              <wp:posOffset>973455</wp:posOffset>
            </wp:positionV>
            <wp:extent cx="4933950" cy="3325495"/>
            <wp:effectExtent l="0" t="0" r="6350" b="1905"/>
            <wp:wrapNone/>
            <wp:docPr id="6" name="图片 64" descr="2db0356e-89f2-4d5f-98b8-9044e28d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4" descr="2db0356e-89f2-4d5f-98b8-9044e28d8033"/>
                    <pic:cNvPicPr>
                      <a:picLocks noChangeAspect="1"/>
                    </pic:cNvPicPr>
                  </pic:nvPicPr>
                  <pic:blipFill>
                    <a:blip r:embed="rId12"/>
                    <a:stretch>
                      <a:fillRect/>
                    </a:stretch>
                  </pic:blipFill>
                  <pic:spPr>
                    <a:xfrm>
                      <a:off x="0" y="0"/>
                      <a:ext cx="4933950" cy="3325495"/>
                    </a:xfrm>
                    <a:prstGeom prst="rect">
                      <a:avLst/>
                    </a:prstGeom>
                    <a:noFill/>
                    <a:ln>
                      <a:noFill/>
                    </a:ln>
                  </pic:spPr>
                </pic:pic>
              </a:graphicData>
            </a:graphic>
          </wp:anchor>
        </w:drawing>
      </w:r>
    </w:p>
    <w:p w14:paraId="46F8D8C8">
      <w:pPr>
        <w:pStyle w:val="2"/>
        <w:spacing w:line="360" w:lineRule="auto"/>
        <w:ind w:firstLine="3360" w:firstLineChars="1200"/>
        <w:jc w:val="both"/>
        <w:rPr>
          <w:rFonts w:hint="default" w:ascii="宋体" w:hAnsi="宋体" w:eastAsia="宋体" w:cs="宋体"/>
          <w:bCs/>
          <w:sz w:val="28"/>
          <w:szCs w:val="28"/>
          <w:highlight w:val="none"/>
          <w:lang w:val="en-US" w:eastAsia="zh-CN"/>
        </w:rPr>
      </w:pPr>
    </w:p>
    <w:p w14:paraId="70078269">
      <w:pPr>
        <w:pStyle w:val="2"/>
        <w:spacing w:line="360" w:lineRule="auto"/>
        <w:ind w:firstLine="3360" w:firstLineChars="1200"/>
        <w:jc w:val="both"/>
        <w:rPr>
          <w:rFonts w:hint="default" w:ascii="宋体" w:hAnsi="宋体" w:eastAsia="宋体" w:cs="宋体"/>
          <w:bCs/>
          <w:sz w:val="28"/>
          <w:szCs w:val="28"/>
          <w:highlight w:val="none"/>
          <w:lang w:val="en-US" w:eastAsia="zh-CN"/>
        </w:rPr>
      </w:pPr>
    </w:p>
    <w:p w14:paraId="6BDB4F7C">
      <w:pPr>
        <w:pStyle w:val="2"/>
        <w:spacing w:line="360" w:lineRule="auto"/>
        <w:ind w:firstLine="3360" w:firstLineChars="1200"/>
        <w:jc w:val="both"/>
        <w:rPr>
          <w:rFonts w:hint="default" w:ascii="宋体" w:hAnsi="宋体" w:eastAsia="宋体" w:cs="宋体"/>
          <w:bCs/>
          <w:sz w:val="28"/>
          <w:szCs w:val="28"/>
          <w:highlight w:val="none"/>
          <w:lang w:val="en-US" w:eastAsia="zh-CN"/>
        </w:rPr>
      </w:pPr>
    </w:p>
    <w:p w14:paraId="1CD67117">
      <w:pPr>
        <w:pStyle w:val="2"/>
        <w:spacing w:line="360" w:lineRule="auto"/>
        <w:ind w:firstLine="3360" w:firstLineChars="1200"/>
        <w:jc w:val="both"/>
        <w:rPr>
          <w:rFonts w:hint="default" w:ascii="宋体" w:hAnsi="宋体" w:eastAsia="宋体" w:cs="宋体"/>
          <w:bCs/>
          <w:sz w:val="28"/>
          <w:szCs w:val="28"/>
          <w:highlight w:val="none"/>
          <w:lang w:val="en-US" w:eastAsia="zh-CN"/>
        </w:rPr>
      </w:pPr>
    </w:p>
    <w:p w14:paraId="099E0EAE">
      <w:pPr>
        <w:pStyle w:val="2"/>
        <w:spacing w:line="360" w:lineRule="auto"/>
        <w:ind w:firstLine="3360" w:firstLineChars="1200"/>
        <w:jc w:val="both"/>
        <w:rPr>
          <w:rFonts w:hint="default" w:ascii="宋体" w:hAnsi="宋体" w:eastAsia="宋体" w:cs="宋体"/>
          <w:bCs/>
          <w:sz w:val="28"/>
          <w:szCs w:val="28"/>
          <w:highlight w:val="none"/>
          <w:lang w:val="en-US" w:eastAsia="zh-CN"/>
        </w:rPr>
      </w:pPr>
    </w:p>
    <w:p w14:paraId="0F256BAC">
      <w:pPr>
        <w:pStyle w:val="2"/>
        <w:spacing w:line="360" w:lineRule="auto"/>
        <w:ind w:firstLine="3360" w:firstLineChars="1200"/>
        <w:jc w:val="both"/>
        <w:rPr>
          <w:rFonts w:hint="default" w:ascii="宋体" w:hAnsi="宋体" w:eastAsia="宋体" w:cs="宋体"/>
          <w:bCs/>
          <w:sz w:val="28"/>
          <w:szCs w:val="28"/>
          <w:highlight w:val="none"/>
          <w:lang w:val="en-US" w:eastAsia="zh-CN"/>
        </w:rPr>
      </w:pPr>
    </w:p>
    <w:p w14:paraId="1A16D08F">
      <w:pPr>
        <w:pStyle w:val="2"/>
        <w:spacing w:line="360" w:lineRule="auto"/>
        <w:ind w:firstLine="3360" w:firstLineChars="1200"/>
        <w:jc w:val="both"/>
        <w:rPr>
          <w:rFonts w:hint="default" w:ascii="宋体" w:hAnsi="宋体" w:eastAsia="宋体" w:cs="宋体"/>
          <w:bCs/>
          <w:sz w:val="28"/>
          <w:szCs w:val="28"/>
          <w:highlight w:val="none"/>
          <w:lang w:val="en-US" w:eastAsia="zh-CN"/>
        </w:rPr>
      </w:pPr>
    </w:p>
    <w:p w14:paraId="11FA9685">
      <w:pPr>
        <w:pStyle w:val="2"/>
        <w:spacing w:line="360" w:lineRule="auto"/>
        <w:ind w:firstLine="3360" w:firstLineChars="1200"/>
        <w:jc w:val="both"/>
        <w:rPr>
          <w:rFonts w:hint="default" w:ascii="宋体" w:hAnsi="宋体" w:eastAsia="宋体" w:cs="宋体"/>
          <w:bCs/>
          <w:sz w:val="28"/>
          <w:szCs w:val="28"/>
          <w:highlight w:val="none"/>
          <w:lang w:val="en-US" w:eastAsia="zh-CN"/>
        </w:rPr>
      </w:pPr>
    </w:p>
    <w:p w14:paraId="1D5172F7">
      <w:pPr>
        <w:pStyle w:val="2"/>
        <w:spacing w:line="360" w:lineRule="auto"/>
        <w:ind w:firstLine="3360" w:firstLineChars="1200"/>
        <w:jc w:val="both"/>
        <w:rPr>
          <w:rFonts w:hint="default" w:ascii="宋体" w:hAnsi="宋体" w:eastAsia="宋体" w:cs="宋体"/>
          <w:bCs/>
          <w:sz w:val="28"/>
          <w:szCs w:val="28"/>
          <w:highlight w:val="none"/>
          <w:lang w:val="en-US" w:eastAsia="zh-CN"/>
        </w:rPr>
      </w:pPr>
    </w:p>
    <w:p w14:paraId="6C065BA0">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图7 事故现场</w:t>
      </w:r>
      <w:r>
        <w:rPr>
          <w:rFonts w:hint="eastAsia" w:ascii="宋体" w:hAnsi="宋体" w:cs="宋体"/>
          <w:sz w:val="24"/>
          <w:szCs w:val="24"/>
          <w:highlight w:val="none"/>
          <w:lang w:val="en-US" w:eastAsia="zh-CN"/>
        </w:rPr>
        <w:t>图（死者安全帽）</w:t>
      </w:r>
    </w:p>
    <w:p w14:paraId="6F68053A">
      <w:pPr>
        <w:pStyle w:val="2"/>
        <w:spacing w:line="360" w:lineRule="auto"/>
        <w:ind w:firstLine="3360" w:firstLineChars="1200"/>
        <w:jc w:val="both"/>
        <w:rPr>
          <w:rFonts w:hint="default" w:ascii="宋体" w:hAnsi="宋体" w:eastAsia="宋体" w:cs="宋体"/>
          <w:bCs/>
          <w:sz w:val="28"/>
          <w:szCs w:val="28"/>
          <w:highlight w:val="none"/>
          <w:lang w:val="en-US" w:eastAsia="zh-CN"/>
        </w:rPr>
      </w:pPr>
    </w:p>
    <w:p w14:paraId="4C1AAC9F">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r>
        <w:rPr>
          <w:rFonts w:hint="eastAsia" w:ascii="楷体_GB2312" w:hAnsi="楷体_GB2312" w:eastAsia="楷体_GB2312" w:cs="楷体_GB2312"/>
          <w:b/>
          <w:sz w:val="32"/>
          <w:szCs w:val="32"/>
          <w:highlight w:val="none"/>
          <w:lang w:val="en-US" w:eastAsia="zh-CN"/>
        </w:rPr>
        <w:drawing>
          <wp:anchor distT="0" distB="0" distL="114300" distR="114300" simplePos="0" relativeHeight="251668480" behindDoc="0" locked="0" layoutInCell="1" allowOverlap="1">
            <wp:simplePos x="0" y="0"/>
            <wp:positionH relativeFrom="column">
              <wp:posOffset>673735</wp:posOffset>
            </wp:positionH>
            <wp:positionV relativeFrom="paragraph">
              <wp:posOffset>-583565</wp:posOffset>
            </wp:positionV>
            <wp:extent cx="3928745" cy="4973955"/>
            <wp:effectExtent l="0" t="0" r="17145" b="14605"/>
            <wp:wrapNone/>
            <wp:docPr id="3" name="图片 3" descr="141b5b25ad40ab038ca460c3c5511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1b5b25ad40ab038ca460c3c5511ed2"/>
                    <pic:cNvPicPr>
                      <a:picLocks noChangeAspect="1"/>
                    </pic:cNvPicPr>
                  </pic:nvPicPr>
                  <pic:blipFill>
                    <a:blip r:embed="rId13"/>
                    <a:stretch>
                      <a:fillRect/>
                    </a:stretch>
                  </pic:blipFill>
                  <pic:spPr>
                    <a:xfrm rot="5400000">
                      <a:off x="0" y="0"/>
                      <a:ext cx="3928745" cy="4973955"/>
                    </a:xfrm>
                    <a:prstGeom prst="rect">
                      <a:avLst/>
                    </a:prstGeom>
                  </pic:spPr>
                </pic:pic>
              </a:graphicData>
            </a:graphic>
          </wp:anchor>
        </w:drawing>
      </w:r>
    </w:p>
    <w:p w14:paraId="1748EAD3">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556A6007">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1C8B5534">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68DAC29F">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2B088863">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660BFAE4">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0678D846">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1FF50322">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3723C592">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3FE62303">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04C4406A">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图8事故现场</w:t>
      </w:r>
      <w:r>
        <w:rPr>
          <w:rFonts w:hint="eastAsia" w:ascii="宋体" w:hAnsi="宋体" w:cs="宋体"/>
          <w:sz w:val="24"/>
          <w:szCs w:val="24"/>
          <w:highlight w:val="none"/>
          <w:lang w:val="en-US" w:eastAsia="zh-CN"/>
        </w:rPr>
        <w:t>图（死者血迹）</w:t>
      </w:r>
    </w:p>
    <w:p w14:paraId="05AB356C">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1D16A902">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r>
        <w:rPr>
          <w:rFonts w:hint="eastAsia" w:ascii="宋体" w:hAnsi="宋体" w:eastAsia="宋体" w:cs="宋体"/>
          <w:bCs/>
          <w:sz w:val="28"/>
          <w:szCs w:val="28"/>
          <w:highlight w:val="yellow"/>
          <w:lang w:val="en-US" w:eastAsia="zh-CN"/>
        </w:rPr>
        <w:drawing>
          <wp:anchor distT="0" distB="0" distL="114300" distR="114300" simplePos="0" relativeHeight="251665408" behindDoc="0" locked="0" layoutInCell="1" allowOverlap="1">
            <wp:simplePos x="0" y="0"/>
            <wp:positionH relativeFrom="column">
              <wp:posOffset>806450</wp:posOffset>
            </wp:positionH>
            <wp:positionV relativeFrom="page">
              <wp:posOffset>366395</wp:posOffset>
            </wp:positionV>
            <wp:extent cx="3840480" cy="5126990"/>
            <wp:effectExtent l="0" t="0" r="16510" b="7620"/>
            <wp:wrapNone/>
            <wp:docPr id="2" name="图片 2" descr="b9da628b42b63aae2058a23602028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9da628b42b63aae2058a23602028f26"/>
                    <pic:cNvPicPr>
                      <a:picLocks noChangeAspect="1"/>
                    </pic:cNvPicPr>
                  </pic:nvPicPr>
                  <pic:blipFill>
                    <a:blip r:embed="rId14"/>
                    <a:stretch>
                      <a:fillRect/>
                    </a:stretch>
                  </pic:blipFill>
                  <pic:spPr>
                    <a:xfrm rot="5400000">
                      <a:off x="0" y="0"/>
                      <a:ext cx="3840480" cy="5126990"/>
                    </a:xfrm>
                    <a:prstGeom prst="rect">
                      <a:avLst/>
                    </a:prstGeom>
                  </pic:spPr>
                </pic:pic>
              </a:graphicData>
            </a:graphic>
          </wp:anchor>
        </w:drawing>
      </w:r>
    </w:p>
    <w:p w14:paraId="3F198616">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24962B6D">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125E5261">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482628F3">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4DDA443B">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21A95BA0">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77E77A21">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24BDF8C2">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71A35958">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297A512A">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165F7912">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图</w:t>
      </w:r>
      <w:r>
        <w:rPr>
          <w:rFonts w:hint="eastAsia" w:ascii="宋体" w:hAnsi="宋体" w:cs="宋体"/>
          <w:sz w:val="24"/>
          <w:szCs w:val="24"/>
          <w:highlight w:val="none"/>
          <w:lang w:val="en-US" w:eastAsia="zh-CN"/>
        </w:rPr>
        <w:t xml:space="preserve">9 </w:t>
      </w:r>
      <w:r>
        <w:rPr>
          <w:rFonts w:hint="eastAsia" w:ascii="宋体" w:hAnsi="宋体" w:eastAsia="宋体" w:cs="宋体"/>
          <w:sz w:val="24"/>
          <w:szCs w:val="24"/>
          <w:highlight w:val="none"/>
          <w:lang w:val="en-US" w:eastAsia="zh-CN"/>
        </w:rPr>
        <w:t>事故现场</w:t>
      </w:r>
      <w:r>
        <w:rPr>
          <w:rFonts w:hint="eastAsia" w:ascii="宋体" w:hAnsi="宋体" w:cs="宋体"/>
          <w:sz w:val="24"/>
          <w:szCs w:val="24"/>
          <w:highlight w:val="none"/>
          <w:lang w:val="en-US" w:eastAsia="zh-CN"/>
        </w:rPr>
        <w:t>图（死者血迹）</w:t>
      </w:r>
    </w:p>
    <w:p w14:paraId="5C5FBBAA">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r>
        <w:rPr>
          <w:rFonts w:hint="eastAsia" w:ascii="宋体" w:hAnsi="宋体" w:eastAsia="宋体" w:cs="宋体"/>
          <w:bCs/>
          <w:sz w:val="28"/>
          <w:szCs w:val="28"/>
          <w:highlight w:val="none"/>
          <w:lang w:eastAsia="zh-CN"/>
        </w:rPr>
        <w:drawing>
          <wp:anchor distT="0" distB="0" distL="114300" distR="114300" simplePos="0" relativeHeight="251663360" behindDoc="0" locked="0" layoutInCell="1" allowOverlap="1">
            <wp:simplePos x="0" y="0"/>
            <wp:positionH relativeFrom="column">
              <wp:posOffset>826135</wp:posOffset>
            </wp:positionH>
            <wp:positionV relativeFrom="paragraph">
              <wp:posOffset>-328930</wp:posOffset>
            </wp:positionV>
            <wp:extent cx="3866515" cy="5161915"/>
            <wp:effectExtent l="0" t="0" r="635" b="635"/>
            <wp:wrapNone/>
            <wp:docPr id="17" name="图片 17" descr="a20b21d9ef3304fbf46cb163ac666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20b21d9ef3304fbf46cb163ac666c6f"/>
                    <pic:cNvPicPr>
                      <a:picLocks noChangeAspect="1"/>
                    </pic:cNvPicPr>
                  </pic:nvPicPr>
                  <pic:blipFill>
                    <a:blip r:embed="rId15"/>
                    <a:stretch>
                      <a:fillRect/>
                    </a:stretch>
                  </pic:blipFill>
                  <pic:spPr>
                    <a:xfrm rot="5400000">
                      <a:off x="0" y="0"/>
                      <a:ext cx="3866515" cy="5161915"/>
                    </a:xfrm>
                    <a:prstGeom prst="rect">
                      <a:avLst/>
                    </a:prstGeom>
                  </pic:spPr>
                </pic:pic>
              </a:graphicData>
            </a:graphic>
          </wp:anchor>
        </w:drawing>
      </w:r>
    </w:p>
    <w:p w14:paraId="7103172E">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4D7FA9A5">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3A9119C7">
      <w:pPr>
        <w:pStyle w:val="2"/>
        <w:rPr>
          <w:rFonts w:hint="eastAsia" w:ascii="楷体_GB2312" w:hAnsi="楷体_GB2312" w:eastAsia="楷体_GB2312" w:cs="楷体_GB2312"/>
          <w:b/>
          <w:sz w:val="32"/>
          <w:szCs w:val="32"/>
          <w:highlight w:val="none"/>
          <w:lang w:val="en-US" w:eastAsia="zh-CN"/>
        </w:rPr>
      </w:pPr>
    </w:p>
    <w:p w14:paraId="129A2A06">
      <w:pPr>
        <w:pStyle w:val="2"/>
        <w:rPr>
          <w:rFonts w:hint="eastAsia" w:ascii="楷体_GB2312" w:hAnsi="楷体_GB2312" w:eastAsia="楷体_GB2312" w:cs="楷体_GB2312"/>
          <w:b/>
          <w:sz w:val="32"/>
          <w:szCs w:val="32"/>
          <w:highlight w:val="none"/>
          <w:lang w:val="en-US" w:eastAsia="zh-CN"/>
        </w:rPr>
      </w:pPr>
    </w:p>
    <w:p w14:paraId="2C0E707D">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5EAC178C">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08BE44F7">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0EE8A27C">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p>
    <w:p w14:paraId="69E26D0B">
      <w:pPr>
        <w:pStyle w:val="2"/>
        <w:rPr>
          <w:rFonts w:hint="eastAsia" w:ascii="楷体_GB2312" w:hAnsi="楷体_GB2312" w:eastAsia="楷体_GB2312" w:cs="楷体_GB2312"/>
          <w:b/>
          <w:sz w:val="32"/>
          <w:szCs w:val="32"/>
          <w:highlight w:val="none"/>
          <w:lang w:val="en-US" w:eastAsia="zh-CN"/>
        </w:rPr>
      </w:pPr>
    </w:p>
    <w:p w14:paraId="175669E3">
      <w:pPr>
        <w:pStyle w:val="2"/>
        <w:rPr>
          <w:rFonts w:hint="eastAsia" w:ascii="楷体_GB2312" w:hAnsi="楷体_GB2312" w:eastAsia="楷体_GB2312" w:cs="楷体_GB2312"/>
          <w:b/>
          <w:sz w:val="32"/>
          <w:szCs w:val="32"/>
          <w:highlight w:val="none"/>
          <w:lang w:val="en-US" w:eastAsia="zh-CN"/>
        </w:rPr>
      </w:pPr>
    </w:p>
    <w:p w14:paraId="23C91C8A">
      <w:pPr>
        <w:pStyle w:val="2"/>
        <w:rPr>
          <w:rFonts w:hint="eastAsia" w:ascii="楷体_GB2312" w:hAnsi="楷体_GB2312" w:eastAsia="楷体_GB2312" w:cs="楷体_GB2312"/>
          <w:b/>
          <w:sz w:val="32"/>
          <w:szCs w:val="32"/>
          <w:highlight w:val="none"/>
          <w:lang w:val="en-US" w:eastAsia="zh-CN"/>
        </w:rPr>
      </w:pPr>
    </w:p>
    <w:p w14:paraId="35E6BB2A">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宋体" w:hAnsi="宋体" w:eastAsia="宋体" w:cs="宋体"/>
          <w:sz w:val="24"/>
          <w:szCs w:val="24"/>
          <w:highlight w:val="none"/>
          <w:lang w:val="en-US" w:eastAsia="zh-CN"/>
        </w:rPr>
      </w:pPr>
    </w:p>
    <w:p w14:paraId="3626F67A">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楷体_GB2312" w:hAnsi="楷体_GB2312" w:eastAsia="楷体_GB2312" w:cs="楷体_GB2312"/>
          <w:b/>
          <w:sz w:val="32"/>
          <w:szCs w:val="32"/>
          <w:highlight w:val="none"/>
          <w:lang w:val="en-US" w:eastAsia="zh-CN"/>
        </w:rPr>
      </w:pPr>
      <w:r>
        <w:rPr>
          <w:rFonts w:hint="eastAsia" w:ascii="宋体" w:hAnsi="宋体" w:eastAsia="宋体" w:cs="宋体"/>
          <w:sz w:val="24"/>
          <w:szCs w:val="24"/>
          <w:highlight w:val="none"/>
          <w:lang w:val="en-US" w:eastAsia="zh-CN"/>
        </w:rPr>
        <w:t>图</w:t>
      </w:r>
      <w:r>
        <w:rPr>
          <w:rFonts w:hint="eastAsia" w:ascii="宋体" w:hAnsi="宋体" w:cs="宋体"/>
          <w:sz w:val="24"/>
          <w:szCs w:val="24"/>
          <w:highlight w:val="none"/>
          <w:lang w:val="en-US" w:eastAsia="zh-CN"/>
        </w:rPr>
        <w:t xml:space="preserve">10 </w:t>
      </w:r>
      <w:r>
        <w:rPr>
          <w:rFonts w:hint="eastAsia" w:ascii="宋体" w:hAnsi="宋体" w:eastAsia="宋体" w:cs="宋体"/>
          <w:sz w:val="24"/>
          <w:szCs w:val="24"/>
          <w:highlight w:val="none"/>
          <w:lang w:val="en-US" w:eastAsia="zh-CN"/>
        </w:rPr>
        <w:t>事故现场</w:t>
      </w:r>
      <w:r>
        <w:rPr>
          <w:rFonts w:hint="eastAsia" w:ascii="宋体" w:hAnsi="宋体" w:cs="宋体"/>
          <w:sz w:val="24"/>
          <w:szCs w:val="24"/>
          <w:highlight w:val="none"/>
          <w:lang w:val="en-US" w:eastAsia="zh-CN"/>
        </w:rPr>
        <w:t>图（死者血迹）</w:t>
      </w:r>
    </w:p>
    <w:p w14:paraId="4387D589">
      <w:pPr>
        <w:keepNext w:val="0"/>
        <w:keepLines w:val="0"/>
        <w:pageBreakBefore w:val="0"/>
        <w:widowControl w:val="0"/>
        <w:kinsoku/>
        <w:wordWrap/>
        <w:overflowPunct/>
        <w:topLinePunct w:val="0"/>
        <w:autoSpaceDE/>
        <w:autoSpaceDN/>
        <w:bidi w:val="0"/>
        <w:adjustRightInd/>
        <w:spacing w:line="560" w:lineRule="exact"/>
        <w:ind w:firstLine="630"/>
        <w:jc w:val="left"/>
        <w:textAlignment w:val="auto"/>
        <w:rPr>
          <w:rFonts w:hint="eastAsia" w:ascii="楷体_GB2312" w:hAnsi="楷体_GB2312" w:eastAsia="楷体_GB2312" w:cs="楷体_GB2312"/>
          <w:b/>
          <w:sz w:val="32"/>
          <w:szCs w:val="32"/>
          <w:highlight w:val="none"/>
          <w:lang w:val="en-US" w:eastAsia="zh-CN"/>
        </w:rPr>
      </w:pPr>
      <w:r>
        <w:rPr>
          <w:rFonts w:hint="eastAsia" w:ascii="楷体_GB2312" w:hAnsi="楷体_GB2312" w:eastAsia="楷体_GB2312" w:cs="楷体_GB2312"/>
          <w:b/>
          <w:sz w:val="32"/>
          <w:szCs w:val="32"/>
          <w:highlight w:val="none"/>
          <w:lang w:val="en-US" w:eastAsia="zh-CN"/>
        </w:rPr>
        <w:t>（四）司法鉴定情况</w:t>
      </w:r>
    </w:p>
    <w:p w14:paraId="28D87812">
      <w:pPr>
        <w:keepNext w:val="0"/>
        <w:keepLines w:val="0"/>
        <w:pageBreakBefore w:val="0"/>
        <w:widowControl w:val="0"/>
        <w:kinsoku/>
        <w:wordWrap/>
        <w:overflowPunct/>
        <w:topLinePunct w:val="0"/>
        <w:autoSpaceDE w:val="0"/>
        <w:autoSpaceDN/>
        <w:bidi w:val="0"/>
        <w:adjustRightInd/>
        <w:snapToGrid w:val="0"/>
        <w:spacing w:line="560" w:lineRule="exact"/>
        <w:ind w:firstLine="640" w:firstLineChars="200"/>
        <w:textAlignment w:val="auto"/>
        <w:rPr>
          <w:rFonts w:hint="eastAsia" w:ascii="仿宋_GB2312" w:hAnsi="仿宋_GB2312" w:eastAsia="仿宋_GB2312" w:cs="仿宋_GB2312"/>
          <w:bCs/>
          <w:color w:val="auto"/>
          <w:sz w:val="32"/>
          <w:szCs w:val="32"/>
          <w:highlight w:val="none"/>
          <w:u w:val="none"/>
          <w:lang w:val="en-US" w:eastAsia="zh-CN"/>
        </w:rPr>
      </w:pPr>
      <w:r>
        <w:rPr>
          <w:rFonts w:hint="eastAsia" w:ascii="仿宋_GB2312" w:hAnsi="仿宋_GB2312" w:eastAsia="仿宋_GB2312" w:cs="仿宋_GB2312"/>
          <w:bCs/>
          <w:color w:val="auto"/>
          <w:sz w:val="32"/>
          <w:szCs w:val="32"/>
          <w:highlight w:val="none"/>
          <w:u w:val="none"/>
          <w:lang w:val="en-US" w:eastAsia="zh-CN"/>
        </w:rPr>
        <w:t>1.抚顺公正司法鉴定所出具抚顺公正司法鉴定所［2025］病鉴字第293号《抚顺公正司法鉴定所鉴定意见书》对徐国雄死亡原因鉴定意见：“死者徐国雄系因胸腹部及头颈部遭受外力作用，致胸腹部及头颈部脏器严重损伤而死亡。”</w:t>
      </w:r>
    </w:p>
    <w:p w14:paraId="021CD7AE">
      <w:pPr>
        <w:keepNext w:val="0"/>
        <w:keepLines w:val="0"/>
        <w:pageBreakBefore w:val="0"/>
        <w:widowControl w:val="0"/>
        <w:kinsoku/>
        <w:wordWrap/>
        <w:overflowPunct/>
        <w:topLinePunct w:val="0"/>
        <w:autoSpaceDE w:val="0"/>
        <w:autoSpaceDN/>
        <w:bidi w:val="0"/>
        <w:adjustRightInd/>
        <w:snapToGrid w:val="0"/>
        <w:spacing w:line="560" w:lineRule="exact"/>
        <w:ind w:firstLine="640" w:firstLineChars="200"/>
        <w:textAlignment w:val="auto"/>
        <w:rPr>
          <w:rFonts w:hint="eastAsia" w:ascii="仿宋_GB2312" w:hAnsi="仿宋_GB2312" w:eastAsia="仿宋_GB2312" w:cs="仿宋_GB2312"/>
          <w:bCs/>
          <w:color w:val="auto"/>
          <w:sz w:val="32"/>
          <w:szCs w:val="32"/>
          <w:highlight w:val="none"/>
          <w:u w:val="none"/>
          <w:lang w:val="en-US" w:eastAsia="zh-CN"/>
        </w:rPr>
      </w:pPr>
      <w:r>
        <w:rPr>
          <w:rFonts w:hint="eastAsia" w:ascii="仿宋_GB2312" w:hAnsi="仿宋_GB2312" w:eastAsia="仿宋_GB2312" w:cs="仿宋_GB2312"/>
          <w:bCs/>
          <w:color w:val="auto"/>
          <w:sz w:val="32"/>
          <w:szCs w:val="32"/>
          <w:highlight w:val="none"/>
          <w:u w:val="none"/>
          <w:lang w:val="en-US" w:eastAsia="zh-CN"/>
        </w:rPr>
        <w:t>2.抚顺公正司法鉴定所出具抚顺公正司法鉴定所［2025］痕鉴字第443号《抚顺公正司法鉴定所鉴定意见书》对事故现场痕迹勘验鉴定意见：“死者徐国雄倾向于由楼梯侧面坠落，呛创地面及建筑垃圾，导致徐国雄胸腹部及头颈部脏器严重损伤而死亡。”</w:t>
      </w:r>
    </w:p>
    <w:p w14:paraId="320C75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color w:val="000000"/>
          <w:kern w:val="0"/>
          <w:sz w:val="32"/>
          <w:szCs w:val="32"/>
          <w:highlight w:val="none"/>
          <w:lang w:val="en-US" w:eastAsia="zh-CN"/>
        </w:rPr>
      </w:pPr>
      <w:r>
        <w:rPr>
          <w:rFonts w:hint="eastAsia" w:ascii="仿宋_GB2312" w:hAnsi="仿宋_GB2312" w:eastAsia="仿宋_GB2312" w:cs="仿宋_GB2312"/>
          <w:bCs/>
          <w:color w:val="auto"/>
          <w:kern w:val="0"/>
          <w:sz w:val="32"/>
          <w:szCs w:val="32"/>
          <w:highlight w:val="none"/>
          <w:lang w:val="en-US" w:eastAsia="zh-CN"/>
        </w:rPr>
        <w:t>具体分析如下：根据中心现场汽车卸料间（即“槽前转运站”）勘查情况，现场楼梯处可见散乱模糊足迹及擦蹭痕迹，可知该楼梯处曾有人员走动(其中不排除死者)。结合汽</w:t>
      </w:r>
      <w:r>
        <w:rPr>
          <w:rFonts w:hint="eastAsia" w:ascii="仿宋_GB2312" w:hAnsi="仿宋_GB2312" w:eastAsia="仿宋_GB2312" w:cs="仿宋_GB2312"/>
          <w:bCs/>
          <w:color w:val="000000"/>
          <w:kern w:val="0"/>
          <w:sz w:val="32"/>
          <w:szCs w:val="32"/>
          <w:highlight w:val="none"/>
          <w:lang w:val="en-US" w:eastAsia="zh-CN"/>
        </w:rPr>
        <w:t>车卸料间地面处滴落血(血迹3)位于楼梯西侧，根据其位置与楼梯投影的距离，判断该血迹应由死者生前自楼梯处前呛受伤后形成。呛创后在楼梯下净空区域北侧空间内的滴落血(血迹1)为垂直滴落形态，血迹形态符合慢速平移运动；局部片状的血泊(血迹2)与伤者倒地位置及身体受伤部位对应一致，可由伤者倒地后形成。死者右脚鞋内血迹也与死者右颜面部呛创对应，结合法医病理鉴定意见(《抚顺公正司法鉴定所司法鉴定意见书》抚顺公正司法鉴定所[2025]病鉴字第293号），事故发生时，死者徐国雄或由汽车卸料间（即“槽前转运站”）楼梯西侧坠落至一楼地面处，造成其身体与地面及建筑垃圾发生碰撞并致其胸腹部、头颈部遭受外力作用，致胸腹部及头颈部脏器严重损伤。徐国雄受伤后又起身移动至楼梯下净空区域北侧空间内，后因伤倒地死亡。</w:t>
      </w:r>
    </w:p>
    <w:p w14:paraId="7B8CEBA5">
      <w:pPr>
        <w:keepNext w:val="0"/>
        <w:keepLines w:val="0"/>
        <w:pageBreakBefore w:val="0"/>
        <w:widowControl w:val="0"/>
        <w:kinsoku/>
        <w:wordWrap/>
        <w:overflowPunct/>
        <w:topLinePunct w:val="0"/>
        <w:autoSpaceDN/>
        <w:bidi w:val="0"/>
        <w:adjustRightInd/>
        <w:snapToGrid/>
        <w:spacing w:line="560" w:lineRule="exact"/>
        <w:ind w:firstLine="640" w:firstLineChars="200"/>
        <w:jc w:val="left"/>
        <w:textAlignment w:val="auto"/>
        <w:rPr>
          <w:rFonts w:ascii="黑体" w:hAnsi="黑体" w:eastAsia="黑体" w:cs="黑体"/>
          <w:bCs/>
          <w:kern w:val="1"/>
          <w:sz w:val="32"/>
          <w:szCs w:val="32"/>
        </w:rPr>
      </w:pPr>
      <w:r>
        <w:rPr>
          <w:rFonts w:hint="eastAsia" w:ascii="黑体" w:hAnsi="黑体" w:eastAsia="黑体" w:cs="黑体"/>
          <w:sz w:val="32"/>
          <w:szCs w:val="32"/>
        </w:rPr>
        <w:t>三、</w:t>
      </w:r>
      <w:r>
        <w:rPr>
          <w:rFonts w:ascii="黑体" w:hAnsi="黑体" w:eastAsia="黑体" w:cs="黑体"/>
          <w:bCs/>
          <w:kern w:val="1"/>
          <w:sz w:val="32"/>
          <w:szCs w:val="32"/>
        </w:rPr>
        <w:t>事故造成的人员伤亡和直接经济损失</w:t>
      </w:r>
    </w:p>
    <w:tbl>
      <w:tblPr>
        <w:tblStyle w:val="11"/>
        <w:tblW w:w="7938" w:type="dxa"/>
        <w:jc w:val="center"/>
        <w:tblLayout w:type="autofit"/>
        <w:tblCellMar>
          <w:top w:w="0" w:type="dxa"/>
          <w:left w:w="108" w:type="dxa"/>
          <w:bottom w:w="0" w:type="dxa"/>
          <w:right w:w="108" w:type="dxa"/>
        </w:tblCellMar>
      </w:tblPr>
      <w:tblGrid>
        <w:gridCol w:w="1210"/>
        <w:gridCol w:w="857"/>
        <w:gridCol w:w="909"/>
        <w:gridCol w:w="1257"/>
        <w:gridCol w:w="2159"/>
        <w:gridCol w:w="1546"/>
      </w:tblGrid>
      <w:tr w14:paraId="7A88B3E8">
        <w:tblPrEx>
          <w:tblCellMar>
            <w:top w:w="0" w:type="dxa"/>
            <w:left w:w="108" w:type="dxa"/>
            <w:bottom w:w="0" w:type="dxa"/>
            <w:right w:w="108" w:type="dxa"/>
          </w:tblCellMar>
        </w:tblPrEx>
        <w:trPr>
          <w:trHeight w:val="583" w:hRule="atLeast"/>
          <w:jc w:val="center"/>
        </w:trPr>
        <w:tc>
          <w:tcPr>
            <w:tcW w:w="1210" w:type="dxa"/>
            <w:tcBorders>
              <w:top w:val="single" w:color="000000" w:sz="12" w:space="0"/>
              <w:left w:val="single" w:color="000000" w:sz="12" w:space="0"/>
              <w:bottom w:val="single" w:color="000000" w:sz="4" w:space="0"/>
              <w:right w:val="single" w:color="000000" w:sz="4" w:space="0"/>
            </w:tcBorders>
            <w:noWrap w:val="0"/>
            <w:vAlign w:val="center"/>
          </w:tcPr>
          <w:p w14:paraId="738B027C">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ascii="仿宋" w:hAnsi="仿宋" w:eastAsia="仿宋" w:cs="仿宋"/>
                <w:kern w:val="1"/>
                <w:sz w:val="28"/>
                <w:szCs w:val="28"/>
              </w:rPr>
            </w:pPr>
            <w:r>
              <w:rPr>
                <w:rFonts w:hint="eastAsia" w:ascii="仿宋" w:hAnsi="仿宋" w:eastAsia="仿宋" w:cs="仿宋"/>
                <w:kern w:val="1"/>
                <w:sz w:val="28"/>
                <w:szCs w:val="28"/>
              </w:rPr>
              <w:t xml:space="preserve">   </w:t>
            </w:r>
            <w:r>
              <w:rPr>
                <w:rFonts w:ascii="仿宋" w:hAnsi="仿宋" w:eastAsia="仿宋" w:cs="仿宋"/>
                <w:kern w:val="1"/>
                <w:sz w:val="28"/>
                <w:szCs w:val="28"/>
              </w:rPr>
              <w:t>姓名</w:t>
            </w:r>
          </w:p>
        </w:tc>
        <w:tc>
          <w:tcPr>
            <w:tcW w:w="857" w:type="dxa"/>
            <w:tcBorders>
              <w:top w:val="single" w:color="000000" w:sz="12" w:space="0"/>
              <w:left w:val="single" w:color="000000" w:sz="4" w:space="0"/>
              <w:bottom w:val="single" w:color="000000" w:sz="4" w:space="0"/>
              <w:right w:val="single" w:color="000000" w:sz="4" w:space="0"/>
            </w:tcBorders>
            <w:noWrap w:val="0"/>
            <w:vAlign w:val="center"/>
          </w:tcPr>
          <w:p w14:paraId="713FE510">
            <w:pPr>
              <w:keepNext w:val="0"/>
              <w:keepLines w:val="0"/>
              <w:pageBreakBefore w:val="0"/>
              <w:widowControl w:val="0"/>
              <w:kinsoku/>
              <w:wordWrap/>
              <w:overflowPunct/>
              <w:topLinePunct w:val="0"/>
              <w:autoSpaceDN/>
              <w:bidi w:val="0"/>
              <w:adjustRightInd/>
              <w:snapToGrid/>
              <w:spacing w:line="560" w:lineRule="exact"/>
              <w:ind w:left="-420" w:firstLine="280"/>
              <w:jc w:val="right"/>
              <w:textAlignment w:val="auto"/>
              <w:rPr>
                <w:rFonts w:ascii="仿宋" w:hAnsi="仿宋" w:eastAsia="仿宋" w:cs="仿宋"/>
                <w:kern w:val="1"/>
                <w:sz w:val="28"/>
                <w:szCs w:val="28"/>
              </w:rPr>
            </w:pPr>
            <w:r>
              <w:rPr>
                <w:rFonts w:ascii="仿宋" w:hAnsi="仿宋" w:eastAsia="仿宋" w:cs="仿宋"/>
                <w:kern w:val="1"/>
                <w:sz w:val="28"/>
                <w:szCs w:val="28"/>
              </w:rPr>
              <w:t>年龄</w:t>
            </w:r>
          </w:p>
        </w:tc>
        <w:tc>
          <w:tcPr>
            <w:tcW w:w="909" w:type="dxa"/>
            <w:tcBorders>
              <w:top w:val="single" w:color="000000" w:sz="12" w:space="0"/>
              <w:left w:val="single" w:color="000000" w:sz="4" w:space="0"/>
              <w:bottom w:val="single" w:color="000000" w:sz="4" w:space="0"/>
              <w:right w:val="single" w:color="000000" w:sz="4" w:space="0"/>
            </w:tcBorders>
            <w:noWrap w:val="0"/>
            <w:vAlign w:val="center"/>
          </w:tcPr>
          <w:p w14:paraId="4BA1DCE1">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 w:hAnsi="仿宋" w:eastAsia="仿宋" w:cs="仿宋"/>
                <w:kern w:val="1"/>
                <w:sz w:val="28"/>
                <w:szCs w:val="28"/>
              </w:rPr>
            </w:pPr>
            <w:r>
              <w:rPr>
                <w:rFonts w:hint="eastAsia" w:ascii="仿宋" w:hAnsi="仿宋" w:eastAsia="仿宋" w:cs="仿宋"/>
                <w:kern w:val="1"/>
                <w:sz w:val="28"/>
                <w:szCs w:val="28"/>
              </w:rPr>
              <w:t xml:space="preserve">  </w:t>
            </w:r>
            <w:r>
              <w:rPr>
                <w:rFonts w:hint="eastAsia" w:ascii="仿宋" w:hAnsi="仿宋" w:eastAsia="仿宋" w:cs="仿宋"/>
                <w:kern w:val="1"/>
                <w:sz w:val="28"/>
                <w:szCs w:val="28"/>
                <w:lang w:val="en-US" w:eastAsia="zh-CN"/>
              </w:rPr>
              <w:t xml:space="preserve"> </w:t>
            </w:r>
            <w:r>
              <w:rPr>
                <w:rFonts w:ascii="仿宋" w:hAnsi="仿宋" w:eastAsia="仿宋" w:cs="仿宋"/>
                <w:kern w:val="1"/>
                <w:sz w:val="28"/>
                <w:szCs w:val="28"/>
              </w:rPr>
              <w:t>性别</w:t>
            </w:r>
          </w:p>
        </w:tc>
        <w:tc>
          <w:tcPr>
            <w:tcW w:w="1257" w:type="dxa"/>
            <w:tcBorders>
              <w:top w:val="single" w:color="000000" w:sz="12" w:space="0"/>
              <w:left w:val="single" w:color="000000" w:sz="4" w:space="0"/>
              <w:bottom w:val="single" w:color="000000" w:sz="4" w:space="0"/>
              <w:right w:val="single" w:color="000000" w:sz="4" w:space="0"/>
            </w:tcBorders>
            <w:noWrap w:val="0"/>
            <w:vAlign w:val="center"/>
          </w:tcPr>
          <w:p w14:paraId="42FAF7F4">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 w:hAnsi="仿宋" w:eastAsia="仿宋" w:cs="仿宋"/>
                <w:kern w:val="1"/>
                <w:sz w:val="28"/>
                <w:szCs w:val="28"/>
              </w:rPr>
            </w:pPr>
            <w:r>
              <w:rPr>
                <w:rFonts w:hint="eastAsia" w:ascii="仿宋" w:hAnsi="仿宋" w:eastAsia="仿宋" w:cs="仿宋"/>
                <w:kern w:val="1"/>
                <w:sz w:val="28"/>
                <w:szCs w:val="28"/>
              </w:rPr>
              <w:t xml:space="preserve">  工种</w:t>
            </w:r>
          </w:p>
        </w:tc>
        <w:tc>
          <w:tcPr>
            <w:tcW w:w="2159" w:type="dxa"/>
            <w:tcBorders>
              <w:top w:val="single" w:color="000000" w:sz="12" w:space="0"/>
              <w:left w:val="single" w:color="000000" w:sz="4" w:space="0"/>
              <w:bottom w:val="single" w:color="000000" w:sz="4" w:space="0"/>
              <w:right w:val="single" w:color="000000" w:sz="4" w:space="0"/>
            </w:tcBorders>
            <w:noWrap w:val="0"/>
            <w:vAlign w:val="center"/>
          </w:tcPr>
          <w:p w14:paraId="285FB4EA">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ascii="仿宋" w:hAnsi="仿宋" w:eastAsia="仿宋" w:cs="仿宋"/>
                <w:kern w:val="1"/>
                <w:sz w:val="28"/>
                <w:szCs w:val="28"/>
              </w:rPr>
            </w:pPr>
            <w:r>
              <w:rPr>
                <w:rFonts w:hint="eastAsia" w:ascii="仿宋" w:hAnsi="仿宋" w:eastAsia="仿宋" w:cs="仿宋"/>
                <w:kern w:val="1"/>
                <w:sz w:val="28"/>
                <w:szCs w:val="28"/>
              </w:rPr>
              <w:t xml:space="preserve">   </w:t>
            </w:r>
            <w:r>
              <w:rPr>
                <w:rFonts w:ascii="仿宋" w:hAnsi="仿宋" w:eastAsia="仿宋" w:cs="仿宋"/>
                <w:kern w:val="1"/>
                <w:sz w:val="28"/>
                <w:szCs w:val="28"/>
              </w:rPr>
              <w:t>伤害部位</w:t>
            </w:r>
          </w:p>
        </w:tc>
        <w:tc>
          <w:tcPr>
            <w:tcW w:w="1546" w:type="dxa"/>
            <w:tcBorders>
              <w:top w:val="single" w:color="000000" w:sz="12" w:space="0"/>
              <w:left w:val="single" w:color="000000" w:sz="4" w:space="0"/>
              <w:bottom w:val="single" w:color="000000" w:sz="4" w:space="0"/>
              <w:right w:val="single" w:color="000000" w:sz="12" w:space="0"/>
            </w:tcBorders>
            <w:noWrap w:val="0"/>
            <w:vAlign w:val="center"/>
          </w:tcPr>
          <w:p w14:paraId="644B07AF">
            <w:pPr>
              <w:keepNext w:val="0"/>
              <w:keepLines w:val="0"/>
              <w:pageBreakBefore w:val="0"/>
              <w:widowControl w:val="0"/>
              <w:kinsoku/>
              <w:wordWrap/>
              <w:overflowPunct/>
              <w:topLinePunct w:val="0"/>
              <w:autoSpaceDN/>
              <w:bidi w:val="0"/>
              <w:adjustRightInd/>
              <w:snapToGrid/>
              <w:spacing w:line="560" w:lineRule="exact"/>
              <w:ind w:left="-420" w:firstLine="280"/>
              <w:jc w:val="center"/>
              <w:textAlignment w:val="auto"/>
              <w:rPr>
                <w:rFonts w:ascii="仿宋" w:hAnsi="仿宋" w:eastAsia="仿宋" w:cs="仿宋"/>
                <w:kern w:val="1"/>
                <w:sz w:val="28"/>
                <w:szCs w:val="28"/>
              </w:rPr>
            </w:pPr>
            <w:r>
              <w:rPr>
                <w:rFonts w:ascii="仿宋" w:hAnsi="仿宋" w:eastAsia="仿宋" w:cs="仿宋"/>
                <w:kern w:val="1"/>
                <w:sz w:val="28"/>
                <w:szCs w:val="28"/>
              </w:rPr>
              <w:t>伤害程度</w:t>
            </w:r>
          </w:p>
        </w:tc>
      </w:tr>
      <w:tr w14:paraId="73B6DBC1">
        <w:tblPrEx>
          <w:tblCellMar>
            <w:top w:w="0" w:type="dxa"/>
            <w:left w:w="108" w:type="dxa"/>
            <w:bottom w:w="0" w:type="dxa"/>
            <w:right w:w="108" w:type="dxa"/>
          </w:tblCellMar>
        </w:tblPrEx>
        <w:trPr>
          <w:trHeight w:val="601" w:hRule="atLeast"/>
          <w:jc w:val="center"/>
        </w:trPr>
        <w:tc>
          <w:tcPr>
            <w:tcW w:w="1210" w:type="dxa"/>
            <w:tcBorders>
              <w:top w:val="single" w:color="000000" w:sz="4" w:space="0"/>
              <w:left w:val="single" w:color="000000" w:sz="12" w:space="0"/>
              <w:bottom w:val="single" w:color="000000" w:sz="12" w:space="0"/>
              <w:right w:val="single" w:color="000000" w:sz="4" w:space="0"/>
            </w:tcBorders>
            <w:noWrap w:val="0"/>
            <w:vAlign w:val="center"/>
          </w:tcPr>
          <w:p w14:paraId="282AA4B2">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default" w:ascii="仿宋" w:hAnsi="仿宋" w:eastAsia="仿宋" w:cs="仿宋"/>
                <w:kern w:val="1"/>
                <w:sz w:val="28"/>
                <w:szCs w:val="28"/>
                <w:lang w:val="en-US" w:eastAsia="zh-CN"/>
              </w:rPr>
            </w:pPr>
            <w:r>
              <w:rPr>
                <w:rFonts w:hint="eastAsia" w:ascii="仿宋" w:hAnsi="仿宋" w:eastAsia="仿宋" w:cs="仿宋"/>
                <w:kern w:val="1"/>
                <w:sz w:val="28"/>
                <w:szCs w:val="28"/>
              </w:rPr>
              <w:t xml:space="preserve">   </w:t>
            </w:r>
            <w:r>
              <w:rPr>
                <w:rFonts w:hint="eastAsia" w:ascii="仿宋" w:hAnsi="仿宋" w:eastAsia="仿宋" w:cs="仿宋"/>
                <w:kern w:val="1"/>
                <w:sz w:val="28"/>
                <w:szCs w:val="28"/>
                <w:lang w:val="en-US" w:eastAsia="zh-CN"/>
              </w:rPr>
              <w:t>徐国雄</w:t>
            </w:r>
          </w:p>
        </w:tc>
        <w:tc>
          <w:tcPr>
            <w:tcW w:w="857" w:type="dxa"/>
            <w:tcBorders>
              <w:top w:val="single" w:color="000000" w:sz="4" w:space="0"/>
              <w:left w:val="single" w:color="000000" w:sz="4" w:space="0"/>
              <w:bottom w:val="single" w:color="000000" w:sz="12" w:space="0"/>
              <w:right w:val="single" w:color="000000" w:sz="4" w:space="0"/>
            </w:tcBorders>
            <w:noWrap w:val="0"/>
            <w:vAlign w:val="center"/>
          </w:tcPr>
          <w:p w14:paraId="428AC061">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 w:hAnsi="仿宋" w:eastAsia="仿宋" w:cs="仿宋"/>
                <w:kern w:val="1"/>
                <w:sz w:val="28"/>
                <w:szCs w:val="28"/>
                <w:lang w:val="en-US" w:eastAsia="zh-CN"/>
              </w:rPr>
            </w:pPr>
            <w:r>
              <w:rPr>
                <w:rFonts w:hint="eastAsia" w:ascii="仿宋" w:hAnsi="仿宋" w:eastAsia="仿宋" w:cs="仿宋"/>
                <w:kern w:val="1"/>
                <w:sz w:val="28"/>
                <w:szCs w:val="28"/>
              </w:rPr>
              <w:t xml:space="preserve">   </w:t>
            </w:r>
            <w:r>
              <w:rPr>
                <w:rFonts w:hint="eastAsia" w:ascii="仿宋" w:hAnsi="仿宋" w:eastAsia="仿宋" w:cs="仿宋"/>
                <w:kern w:val="1"/>
                <w:sz w:val="28"/>
                <w:szCs w:val="28"/>
                <w:highlight w:val="none"/>
              </w:rPr>
              <w:t>5</w:t>
            </w:r>
            <w:r>
              <w:rPr>
                <w:rFonts w:hint="eastAsia" w:ascii="仿宋" w:hAnsi="仿宋" w:eastAsia="仿宋" w:cs="仿宋"/>
                <w:kern w:val="1"/>
                <w:sz w:val="28"/>
                <w:szCs w:val="28"/>
                <w:highlight w:val="none"/>
                <w:lang w:val="en-US" w:eastAsia="zh-CN"/>
              </w:rPr>
              <w:t>6</w:t>
            </w:r>
          </w:p>
        </w:tc>
        <w:tc>
          <w:tcPr>
            <w:tcW w:w="909" w:type="dxa"/>
            <w:tcBorders>
              <w:top w:val="single" w:color="000000" w:sz="4" w:space="0"/>
              <w:left w:val="single" w:color="000000" w:sz="4" w:space="0"/>
              <w:bottom w:val="single" w:color="000000" w:sz="12" w:space="0"/>
              <w:right w:val="single" w:color="000000" w:sz="4" w:space="0"/>
            </w:tcBorders>
            <w:noWrap w:val="0"/>
            <w:vAlign w:val="center"/>
          </w:tcPr>
          <w:p w14:paraId="04EBD2E3">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 w:hAnsi="仿宋" w:eastAsia="仿宋" w:cs="仿宋"/>
                <w:kern w:val="1"/>
                <w:sz w:val="28"/>
                <w:szCs w:val="28"/>
              </w:rPr>
            </w:pPr>
            <w:r>
              <w:rPr>
                <w:rFonts w:hint="eastAsia" w:ascii="仿宋" w:hAnsi="仿宋" w:eastAsia="仿宋" w:cs="仿宋"/>
                <w:kern w:val="1"/>
                <w:sz w:val="28"/>
                <w:szCs w:val="28"/>
              </w:rPr>
              <w:t xml:space="preserve">   男</w:t>
            </w:r>
          </w:p>
        </w:tc>
        <w:tc>
          <w:tcPr>
            <w:tcW w:w="1257" w:type="dxa"/>
            <w:tcBorders>
              <w:top w:val="single" w:color="000000" w:sz="4" w:space="0"/>
              <w:left w:val="single" w:color="000000" w:sz="4" w:space="0"/>
              <w:bottom w:val="single" w:color="000000" w:sz="12" w:space="0"/>
              <w:right w:val="single" w:color="000000" w:sz="4" w:space="0"/>
            </w:tcBorders>
            <w:noWrap w:val="0"/>
            <w:vAlign w:val="center"/>
          </w:tcPr>
          <w:p w14:paraId="50BEEC87">
            <w:pPr>
              <w:keepNext w:val="0"/>
              <w:keepLines w:val="0"/>
              <w:pageBreakBefore w:val="0"/>
              <w:widowControl w:val="0"/>
              <w:kinsoku/>
              <w:wordWrap/>
              <w:overflowPunct/>
              <w:topLinePunct w:val="0"/>
              <w:autoSpaceDN/>
              <w:bidi w:val="0"/>
              <w:adjustRightInd/>
              <w:snapToGrid/>
              <w:spacing w:line="560" w:lineRule="exact"/>
              <w:jc w:val="center"/>
              <w:textAlignment w:val="auto"/>
              <w:rPr>
                <w:rFonts w:ascii="仿宋" w:hAnsi="仿宋" w:eastAsia="仿宋" w:cs="仿宋"/>
                <w:kern w:val="1"/>
                <w:sz w:val="28"/>
                <w:szCs w:val="28"/>
              </w:rPr>
            </w:pPr>
            <w:r>
              <w:rPr>
                <w:rFonts w:hint="eastAsia" w:ascii="仿宋" w:hAnsi="仿宋" w:eastAsia="仿宋" w:cs="仿宋"/>
                <w:kern w:val="1"/>
                <w:sz w:val="28"/>
                <w:szCs w:val="28"/>
                <w:highlight w:val="none"/>
                <w:lang w:val="en-US" w:eastAsia="zh-CN"/>
              </w:rPr>
              <w:t>木</w:t>
            </w:r>
            <w:r>
              <w:rPr>
                <w:rFonts w:hint="eastAsia" w:ascii="仿宋" w:hAnsi="仿宋" w:eastAsia="仿宋" w:cs="仿宋"/>
                <w:kern w:val="1"/>
                <w:sz w:val="28"/>
                <w:szCs w:val="28"/>
                <w:highlight w:val="none"/>
              </w:rPr>
              <w:t>工</w:t>
            </w:r>
          </w:p>
        </w:tc>
        <w:tc>
          <w:tcPr>
            <w:tcW w:w="2159" w:type="dxa"/>
            <w:tcBorders>
              <w:top w:val="single" w:color="000000" w:sz="4" w:space="0"/>
              <w:left w:val="single" w:color="000000" w:sz="4" w:space="0"/>
              <w:bottom w:val="single" w:color="000000" w:sz="12" w:space="0"/>
              <w:right w:val="single" w:color="000000" w:sz="4" w:space="0"/>
            </w:tcBorders>
            <w:noWrap w:val="0"/>
            <w:vAlign w:val="center"/>
          </w:tcPr>
          <w:p w14:paraId="3EF20794">
            <w:pPr>
              <w:keepNext w:val="0"/>
              <w:keepLines w:val="0"/>
              <w:pageBreakBefore w:val="0"/>
              <w:widowControl w:val="0"/>
              <w:kinsoku/>
              <w:wordWrap/>
              <w:overflowPunct/>
              <w:topLinePunct w:val="0"/>
              <w:autoSpaceDN/>
              <w:bidi w:val="0"/>
              <w:adjustRightInd/>
              <w:snapToGrid/>
              <w:spacing w:line="560" w:lineRule="exact"/>
              <w:ind w:left="-146" w:hanging="272"/>
              <w:jc w:val="both"/>
              <w:textAlignment w:val="auto"/>
              <w:rPr>
                <w:rFonts w:hint="eastAsia" w:ascii="仿宋" w:hAnsi="仿宋" w:eastAsia="仿宋" w:cs="仿宋"/>
                <w:kern w:val="1"/>
                <w:sz w:val="28"/>
                <w:szCs w:val="28"/>
                <w:lang w:eastAsia="zh-CN"/>
              </w:rPr>
            </w:pPr>
            <w:r>
              <w:rPr>
                <w:rFonts w:hint="eastAsia" w:ascii="仿宋" w:hAnsi="仿宋" w:eastAsia="仿宋" w:cs="仿宋"/>
                <w:kern w:val="1"/>
                <w:sz w:val="28"/>
                <w:szCs w:val="28"/>
              </w:rPr>
              <w:t xml:space="preserve"> </w:t>
            </w:r>
            <w:r>
              <w:rPr>
                <w:rFonts w:hint="eastAsia" w:ascii="仿宋" w:hAnsi="仿宋" w:eastAsia="仿宋" w:cs="仿宋"/>
                <w:kern w:val="1"/>
                <w:sz w:val="28"/>
                <w:szCs w:val="28"/>
                <w:highlight w:val="none"/>
              </w:rPr>
              <w:t xml:space="preserve"> </w:t>
            </w:r>
            <w:r>
              <w:rPr>
                <w:rFonts w:hint="eastAsia" w:ascii="仿宋" w:hAnsi="仿宋" w:eastAsia="仿宋" w:cs="仿宋"/>
                <w:kern w:val="1"/>
                <w:sz w:val="28"/>
                <w:szCs w:val="28"/>
                <w:highlight w:val="none"/>
                <w:lang w:val="en-US" w:eastAsia="zh-CN"/>
              </w:rPr>
              <w:t xml:space="preserve"> 胸腹部、头颈</w:t>
            </w:r>
            <w:r>
              <w:rPr>
                <w:rFonts w:hint="eastAsia" w:ascii="仿宋" w:hAnsi="仿宋" w:eastAsia="仿宋" w:cs="仿宋"/>
                <w:kern w:val="1"/>
                <w:sz w:val="28"/>
                <w:szCs w:val="28"/>
                <w:highlight w:val="none"/>
                <w:lang w:eastAsia="zh-CN"/>
              </w:rPr>
              <w:t>部</w:t>
            </w:r>
          </w:p>
        </w:tc>
        <w:tc>
          <w:tcPr>
            <w:tcW w:w="1546" w:type="dxa"/>
            <w:tcBorders>
              <w:top w:val="single" w:color="000000" w:sz="4" w:space="0"/>
              <w:left w:val="single" w:color="000000" w:sz="4" w:space="0"/>
              <w:bottom w:val="single" w:color="000000" w:sz="12" w:space="0"/>
              <w:right w:val="single" w:color="000000" w:sz="12" w:space="0"/>
            </w:tcBorders>
            <w:noWrap w:val="0"/>
            <w:vAlign w:val="center"/>
          </w:tcPr>
          <w:p w14:paraId="39AEF6F4">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ascii="仿宋" w:hAnsi="仿宋" w:eastAsia="仿宋" w:cs="仿宋"/>
                <w:kern w:val="1"/>
                <w:sz w:val="28"/>
                <w:szCs w:val="28"/>
              </w:rPr>
            </w:pPr>
            <w:r>
              <w:rPr>
                <w:rFonts w:hint="eastAsia" w:ascii="仿宋" w:hAnsi="仿宋" w:eastAsia="仿宋" w:cs="仿宋"/>
                <w:kern w:val="1"/>
                <w:sz w:val="28"/>
                <w:szCs w:val="28"/>
              </w:rPr>
              <w:t xml:space="preserve">  </w:t>
            </w:r>
            <w:r>
              <w:rPr>
                <w:rFonts w:ascii="仿宋" w:hAnsi="仿宋" w:eastAsia="仿宋" w:cs="仿宋"/>
                <w:kern w:val="1"/>
                <w:sz w:val="28"/>
                <w:szCs w:val="28"/>
              </w:rPr>
              <w:t>死亡</w:t>
            </w:r>
          </w:p>
        </w:tc>
      </w:tr>
    </w:tbl>
    <w:p w14:paraId="213A4DD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1"/>
          <w:sz w:val="32"/>
          <w:szCs w:val="32"/>
        </w:rPr>
        <w:t>本次事故损失工作日：6</w:t>
      </w:r>
      <w:r>
        <w:rPr>
          <w:rFonts w:hint="eastAsia" w:ascii="仿宋_GB2312" w:hAnsi="仿宋_GB2312" w:eastAsia="仿宋_GB2312" w:cs="仿宋_GB2312"/>
          <w:kern w:val="1"/>
          <w:sz w:val="32"/>
          <w:szCs w:val="32"/>
          <w:lang w:val="en-US" w:eastAsia="zh-CN"/>
        </w:rPr>
        <w:t>0</w:t>
      </w:r>
      <w:r>
        <w:rPr>
          <w:rFonts w:hint="eastAsia" w:ascii="仿宋_GB2312" w:hAnsi="仿宋_GB2312" w:eastAsia="仿宋_GB2312" w:cs="仿宋_GB2312"/>
          <w:kern w:val="1"/>
          <w:sz w:val="32"/>
          <w:szCs w:val="32"/>
        </w:rPr>
        <w:t>00天，直接经济损失约</w:t>
      </w:r>
      <w:r>
        <w:rPr>
          <w:rFonts w:hint="eastAsia" w:ascii="仿宋_GB2312" w:hAnsi="仿宋_GB2312" w:eastAsia="仿宋_GB2312" w:cs="仿宋_GB2312"/>
          <w:kern w:val="1"/>
          <w:sz w:val="32"/>
          <w:szCs w:val="32"/>
          <w:highlight w:val="none"/>
        </w:rPr>
        <w:t>1</w:t>
      </w:r>
      <w:r>
        <w:rPr>
          <w:rFonts w:hint="eastAsia" w:ascii="仿宋_GB2312" w:hAnsi="仿宋_GB2312" w:eastAsia="仿宋_GB2312" w:cs="仿宋_GB2312"/>
          <w:kern w:val="1"/>
          <w:sz w:val="32"/>
          <w:szCs w:val="32"/>
          <w:highlight w:val="none"/>
          <w:lang w:val="en-US" w:eastAsia="zh-CN"/>
        </w:rPr>
        <w:t>30</w:t>
      </w:r>
      <w:r>
        <w:rPr>
          <w:rFonts w:hint="eastAsia" w:ascii="仿宋_GB2312" w:hAnsi="仿宋_GB2312" w:eastAsia="仿宋_GB2312" w:cs="仿宋_GB2312"/>
          <w:kern w:val="1"/>
          <w:sz w:val="32"/>
          <w:szCs w:val="32"/>
          <w:highlight w:val="none"/>
        </w:rPr>
        <w:t>万</w:t>
      </w:r>
      <w:r>
        <w:rPr>
          <w:rFonts w:hint="eastAsia" w:ascii="仿宋_GB2312" w:hAnsi="仿宋_GB2312" w:eastAsia="仿宋_GB2312" w:cs="仿宋_GB2312"/>
          <w:kern w:val="1"/>
          <w:sz w:val="32"/>
          <w:szCs w:val="32"/>
        </w:rPr>
        <w:t>元。</w:t>
      </w:r>
    </w:p>
    <w:p w14:paraId="46D45391">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ascii="黑体" w:hAnsi="黑体" w:eastAsia="黑体" w:cs="黑体"/>
          <w:bCs/>
          <w:kern w:val="1"/>
          <w:sz w:val="32"/>
          <w:szCs w:val="32"/>
        </w:rPr>
      </w:pPr>
      <w:r>
        <w:rPr>
          <w:rFonts w:hint="eastAsia" w:ascii="黑体" w:hAnsi="黑体" w:eastAsia="黑体" w:cs="黑体"/>
          <w:bCs/>
          <w:kern w:val="1"/>
          <w:sz w:val="32"/>
          <w:szCs w:val="32"/>
          <w:lang w:eastAsia="zh-CN"/>
        </w:rPr>
        <w:t>四</w:t>
      </w:r>
      <w:r>
        <w:rPr>
          <w:rFonts w:ascii="黑体" w:hAnsi="黑体" w:eastAsia="黑体" w:cs="黑体"/>
          <w:bCs/>
          <w:kern w:val="1"/>
          <w:sz w:val="32"/>
          <w:szCs w:val="32"/>
        </w:rPr>
        <w:t>、事故发生原因和事故性质</w:t>
      </w:r>
    </w:p>
    <w:p w14:paraId="512870F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kern w:val="1"/>
          <w:sz w:val="32"/>
          <w:szCs w:val="32"/>
        </w:rPr>
      </w:pPr>
      <w:r>
        <w:rPr>
          <w:rFonts w:hint="eastAsia" w:ascii="楷体_GB2312" w:hAnsi="楷体_GB2312" w:eastAsia="楷体_GB2312" w:cs="楷体_GB2312"/>
          <w:b/>
          <w:kern w:val="1"/>
          <w:sz w:val="32"/>
          <w:szCs w:val="32"/>
        </w:rPr>
        <w:t>（一）直接原因</w:t>
      </w:r>
    </w:p>
    <w:p w14:paraId="0C9C98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四川共创公司木工徐国雄安全意识淡薄，在</w:t>
      </w:r>
      <w:r>
        <w:rPr>
          <w:rFonts w:hint="eastAsia" w:ascii="仿宋_GB2312" w:hAnsi="仿宋_GB2312" w:eastAsia="仿宋_GB2312" w:cs="仿宋_GB2312"/>
          <w:color w:val="auto"/>
          <w:sz w:val="32"/>
          <w:szCs w:val="32"/>
          <w:lang w:val="en-US" w:eastAsia="zh-CN"/>
        </w:rPr>
        <w:t>工程收尾阶段清理建筑材料和垃圾过程中</w:t>
      </w:r>
      <w:r>
        <w:rPr>
          <w:rFonts w:hint="eastAsia" w:ascii="仿宋_GB2312" w:hAnsi="仿宋_GB2312" w:eastAsia="仿宋_GB2312" w:cs="仿宋_GB2312"/>
          <w:color w:val="auto"/>
          <w:sz w:val="32"/>
          <w:szCs w:val="32"/>
          <w:highlight w:val="none"/>
          <w:lang w:val="en-US" w:eastAsia="zh-CN"/>
        </w:rPr>
        <w:t>未注意安全</w:t>
      </w:r>
      <w:r>
        <w:rPr>
          <w:rFonts w:hint="eastAsia" w:ascii="仿宋_GB2312" w:hAnsi="仿宋_GB2312" w:eastAsia="仿宋_GB2312" w:cs="仿宋_GB2312"/>
          <w:kern w:val="2"/>
          <w:sz w:val="32"/>
          <w:szCs w:val="32"/>
          <w:highlight w:val="none"/>
          <w:lang w:val="en-US" w:eastAsia="zh-CN" w:bidi="ar-SA"/>
        </w:rPr>
        <w:t>，</w:t>
      </w:r>
      <w:r>
        <w:rPr>
          <w:rFonts w:hint="eastAsia" w:ascii="仿宋_GB2312" w:hAnsi="仿宋_GB2312" w:eastAsia="仿宋_GB2312" w:cs="仿宋_GB2312"/>
          <w:color w:val="auto"/>
          <w:kern w:val="2"/>
          <w:sz w:val="32"/>
          <w:szCs w:val="32"/>
          <w:highlight w:val="none"/>
          <w:lang w:val="en-US" w:eastAsia="zh-CN" w:bidi="ar-SA"/>
        </w:rPr>
        <w:t>进入临时封堵区域从已撤掉护栏的皮带廊侧面失足坠落后，面部向下撞击到地面及建筑材料和垃圾，造成其受伤死亡。</w:t>
      </w:r>
    </w:p>
    <w:p w14:paraId="43C8A103">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楷体_GB2312" w:hAnsi="楷体_GB2312" w:eastAsia="楷体_GB2312" w:cs="楷体_GB2312"/>
          <w:sz w:val="32"/>
          <w:szCs w:val="32"/>
        </w:rPr>
      </w:pPr>
      <w:r>
        <w:rPr>
          <w:rFonts w:hint="eastAsia" w:ascii="楷体_GB2312" w:hAnsi="楷体_GB2312" w:eastAsia="楷体_GB2312" w:cs="楷体_GB2312"/>
          <w:b/>
          <w:kern w:val="1"/>
          <w:sz w:val="32"/>
          <w:szCs w:val="32"/>
        </w:rPr>
        <w:t>（二）间接原因</w:t>
      </w:r>
    </w:p>
    <w:p w14:paraId="721B1D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color w:val="000000"/>
          <w:kern w:val="2"/>
          <w:sz w:val="32"/>
          <w:szCs w:val="32"/>
          <w:highlight w:val="none"/>
          <w:lang w:val="en-US" w:eastAsia="zh-CN" w:bidi="ar-SA"/>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val="en-US" w:eastAsia="zh-CN"/>
        </w:rPr>
        <w:t>四川共创公司落实安全生产主体责任不到位，</w:t>
      </w:r>
      <w:r>
        <w:rPr>
          <w:rFonts w:hint="eastAsia" w:ascii="仿宋_GB2312" w:hAnsi="仿宋_GB2312" w:eastAsia="仿宋_GB2312" w:cs="仿宋_GB2312"/>
          <w:b w:val="0"/>
          <w:bCs w:val="0"/>
          <w:sz w:val="32"/>
          <w:szCs w:val="32"/>
          <w:highlight w:val="none"/>
          <w:lang w:val="en-US" w:eastAsia="zh-CN"/>
        </w:rPr>
        <w:t>未</w:t>
      </w:r>
      <w:r>
        <w:rPr>
          <w:rFonts w:hint="eastAsia" w:ascii="仿宋_GB2312" w:hAnsi="仿宋_GB2312" w:eastAsia="仿宋_GB2312" w:cs="仿宋_GB2312"/>
          <w:sz w:val="32"/>
          <w:szCs w:val="32"/>
          <w:highlight w:val="none"/>
          <w:lang w:val="en-US" w:eastAsia="zh-CN"/>
        </w:rPr>
        <w:t>按照《专项施工方案》要求对拆卸至地面的材料按指定地点随拆随运，未分类堆放，未当天拆当天清，</w:t>
      </w:r>
      <w:r>
        <w:rPr>
          <w:rFonts w:hint="eastAsia" w:ascii="仿宋_GB2312" w:hAnsi="仿宋_GB2312" w:eastAsia="仿宋_GB2312" w:cs="仿宋_GB2312"/>
          <w:color w:val="auto"/>
          <w:sz w:val="32"/>
          <w:szCs w:val="32"/>
          <w:highlight w:val="none"/>
          <w:lang w:val="en-US" w:eastAsia="zh-CN"/>
        </w:rPr>
        <w:t>作业现场安全条件差，</w:t>
      </w:r>
      <w:r>
        <w:rPr>
          <w:rFonts w:hint="eastAsia" w:ascii="仿宋_GB2312" w:hAnsi="仿宋_GB2312" w:eastAsia="仿宋_GB2312" w:cs="仿宋_GB2312"/>
          <w:sz w:val="32"/>
          <w:szCs w:val="32"/>
          <w:highlight w:val="none"/>
          <w:lang w:val="en-US" w:eastAsia="zh-CN"/>
        </w:rPr>
        <w:t>对存在的安全风险未引起重视，</w:t>
      </w:r>
      <w:r>
        <w:rPr>
          <w:rFonts w:hint="eastAsia" w:ascii="仿宋" w:hAnsi="仿宋" w:eastAsia="仿宋" w:cs="仿宋"/>
          <w:bCs/>
          <w:color w:val="000000"/>
          <w:kern w:val="2"/>
          <w:sz w:val="32"/>
          <w:szCs w:val="32"/>
          <w:highlight w:val="none"/>
          <w:lang w:val="en-US" w:eastAsia="zh-CN" w:bidi="ar-SA"/>
        </w:rPr>
        <w:t>未及时消除生产安全事故隐患。</w:t>
      </w:r>
    </w:p>
    <w:p w14:paraId="6AB6C6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b w:val="0"/>
          <w:bCs w:val="0"/>
          <w:sz w:val="32"/>
          <w:szCs w:val="32"/>
          <w:lang w:val="en-US" w:eastAsia="zh-CN"/>
        </w:rPr>
        <w:t>四川共创公司</w:t>
      </w:r>
      <w:r>
        <w:rPr>
          <w:rFonts w:hint="eastAsia" w:ascii="仿宋_GB2312" w:hAnsi="仿宋_GB2312" w:eastAsia="仿宋_GB2312" w:cs="仿宋_GB2312"/>
          <w:sz w:val="32"/>
          <w:szCs w:val="32"/>
          <w:highlight w:val="none"/>
          <w:lang w:eastAsia="zh-CN"/>
        </w:rPr>
        <w:t>对工程项目收尾阶段的安全生产重视不足，对高处临边存在的安全隐患检查不到位，日常安全教育提醒不到位，个别员工</w:t>
      </w:r>
      <w:r>
        <w:rPr>
          <w:rFonts w:hint="eastAsia" w:ascii="仿宋_GB2312" w:hAnsi="仿宋_GB2312" w:eastAsia="仿宋_GB2312" w:cs="仿宋_GB2312"/>
          <w:sz w:val="32"/>
          <w:szCs w:val="32"/>
          <w:highlight w:val="none"/>
          <w:lang w:val="en-US" w:eastAsia="zh-CN"/>
        </w:rPr>
        <w:t>安全意识淡薄，对现场环境混乱不安视而不见</w:t>
      </w:r>
      <w:r>
        <w:rPr>
          <w:rFonts w:hint="eastAsia" w:ascii="仿宋_GB2312" w:hAnsi="仿宋_GB2312" w:eastAsia="仿宋_GB2312" w:cs="仿宋_GB2312"/>
          <w:sz w:val="32"/>
          <w:szCs w:val="32"/>
          <w:highlight w:val="none"/>
          <w:lang w:eastAsia="zh-CN"/>
        </w:rPr>
        <w:t>。</w:t>
      </w:r>
    </w:p>
    <w:p w14:paraId="2D86EB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3.</w:t>
      </w:r>
      <w:r>
        <w:rPr>
          <w:rFonts w:hint="eastAsia" w:ascii="仿宋_GB2312" w:hAnsi="仿宋_GB2312" w:eastAsia="仿宋_GB2312" w:cs="仿宋_GB2312"/>
          <w:b w:val="0"/>
          <w:bCs w:val="0"/>
          <w:sz w:val="32"/>
          <w:szCs w:val="32"/>
          <w:lang w:val="en-US" w:eastAsia="zh-CN"/>
        </w:rPr>
        <w:t>四川共创公司专业分包项目部人员未有效履职，</w:t>
      </w:r>
      <w:r>
        <w:rPr>
          <w:rFonts w:hint="eastAsia" w:ascii="仿宋_GB2312" w:hAnsi="仿宋_GB2312" w:eastAsia="仿宋_GB2312" w:cs="仿宋_GB2312"/>
          <w:b w:val="0"/>
          <w:bCs w:val="0"/>
          <w:sz w:val="32"/>
          <w:szCs w:val="32"/>
          <w:highlight w:val="none"/>
          <w:lang w:val="en-US" w:eastAsia="zh-CN"/>
        </w:rPr>
        <w:t>项目</w:t>
      </w:r>
      <w:r>
        <w:rPr>
          <w:rFonts w:hint="eastAsia" w:ascii="仿宋_GB2312" w:hAnsi="仿宋_GB2312" w:eastAsia="仿宋_GB2312" w:cs="仿宋_GB2312"/>
          <w:sz w:val="32"/>
          <w:szCs w:val="32"/>
          <w:highlight w:val="none"/>
          <w:lang w:val="en-US" w:eastAsia="zh-CN"/>
        </w:rPr>
        <w:t>经理张富生事故发生时未在现场履职，总工程师李碧娟事故发生时请假未在岗，工程经理胡学海对作业现场安全管理不到</w:t>
      </w:r>
      <w:r>
        <w:rPr>
          <w:rFonts w:hint="eastAsia" w:ascii="仿宋_GB2312" w:hAnsi="仿宋_GB2312" w:eastAsia="仿宋_GB2312" w:cs="仿宋_GB2312"/>
          <w:color w:val="auto"/>
          <w:sz w:val="32"/>
          <w:szCs w:val="32"/>
          <w:highlight w:val="none"/>
          <w:lang w:val="en-US" w:eastAsia="zh-CN"/>
        </w:rPr>
        <w:t>位。</w:t>
      </w:r>
    </w:p>
    <w:p w14:paraId="233F86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4.二十二冶集团金结公司对四川共创公司安全生产统一协调管理不到位，对工程项目收尾阶段专业分包单位项目经理等管理人员未在岗履职监督管理不到位，对施工现场环境要求标准低、管理松散，安全检查不严格。</w:t>
      </w:r>
    </w:p>
    <w:p w14:paraId="02C879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5.抚顺新钢铁公司对二十二冶集团金结公司、四川共创公司安全生产统一协调管理不到位，未有效落实</w:t>
      </w:r>
      <w:r>
        <w:rPr>
          <w:rFonts w:hint="eastAsia" w:ascii="仿宋_GB2312" w:hAnsi="仿宋_GB2312" w:eastAsia="仿宋_GB2312" w:cs="仿宋_GB2312"/>
          <w:color w:val="auto"/>
          <w:sz w:val="32"/>
          <w:szCs w:val="32"/>
          <w:lang w:val="en-US" w:eastAsia="zh-CN"/>
        </w:rPr>
        <w:t>《安全文明施工协议书》要求</w:t>
      </w:r>
      <w:r>
        <w:rPr>
          <w:rStyle w:val="17"/>
          <w:rFonts w:hint="eastAsia" w:ascii="仿宋_GB2312" w:hAnsi="仿宋_GB2312" w:eastAsia="仿宋_GB2312" w:cs="仿宋_GB2312"/>
          <w:color w:val="auto"/>
          <w:sz w:val="32"/>
          <w:szCs w:val="32"/>
          <w:lang w:val="en-US" w:eastAsia="zh-CN"/>
        </w:rPr>
        <w:t>[</w:t>
      </w:r>
      <w:r>
        <w:rPr>
          <w:rStyle w:val="17"/>
          <w:rFonts w:hint="eastAsia" w:ascii="仿宋_GB2312" w:hAnsi="仿宋_GB2312" w:eastAsia="仿宋_GB2312" w:cs="仿宋_GB2312"/>
          <w:color w:val="auto"/>
          <w:sz w:val="32"/>
          <w:szCs w:val="32"/>
          <w:lang w:val="en-US" w:eastAsia="zh-CN"/>
        </w:rPr>
        <w:footnoteReference w:id="0"/>
      </w:r>
      <w:r>
        <w:rPr>
          <w:rStyle w:val="17"/>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b w:val="0"/>
          <w:bCs w:val="0"/>
          <w:sz w:val="32"/>
          <w:szCs w:val="32"/>
          <w:highlight w:val="none"/>
          <w:lang w:val="en-US" w:eastAsia="zh-CN"/>
        </w:rPr>
        <w:t>，对施工现场安全条件差检查及督促整改不到位。</w:t>
      </w:r>
    </w:p>
    <w:p w14:paraId="3E26334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6.中冶北方大连公司对二十二冶集团金结公司、四川共创公司安全监理不到位，对分包单位管理人员未在现场履职责失管失察，对施工现场安全条件差检查及督促整改不到位。</w:t>
      </w:r>
    </w:p>
    <w:p w14:paraId="72C097B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kern w:val="1"/>
          <w:sz w:val="32"/>
          <w:szCs w:val="32"/>
          <w:lang w:val="en-US" w:eastAsia="zh-CN"/>
        </w:rPr>
      </w:pPr>
      <w:r>
        <w:rPr>
          <w:rFonts w:hint="eastAsia" w:ascii="楷体_GB2312" w:hAnsi="楷体_GB2312" w:eastAsia="楷体_GB2312" w:cs="楷体_GB2312"/>
          <w:b/>
          <w:kern w:val="1"/>
          <w:sz w:val="32"/>
          <w:szCs w:val="32"/>
          <w:lang w:val="en-US" w:eastAsia="zh-CN"/>
        </w:rPr>
        <w:t>（三）事故性质</w:t>
      </w:r>
    </w:p>
    <w:p w14:paraId="7F694A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经调查认定，抚顺望花新钢高炉低碳绿色智能化升级改造项目矿槽及槽前转运系统建安工程“10·24”一般高处坠落事故是一起生产安全责任事故。</w:t>
      </w:r>
    </w:p>
    <w:p w14:paraId="2F1DEB57">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Style w:val="17"/>
          <w:rFonts w:ascii="黑体" w:hAnsi="黑体" w:eastAsia="黑体" w:cs="黑体"/>
          <w:bCs/>
          <w:kern w:val="1"/>
          <w:sz w:val="32"/>
          <w:szCs w:val="32"/>
        </w:rPr>
      </w:pPr>
      <w:r>
        <w:rPr>
          <w:rFonts w:hint="eastAsia" w:ascii="黑体" w:hAnsi="黑体" w:eastAsia="黑体" w:cs="黑体"/>
          <w:b/>
          <w:bCs w:val="0"/>
          <w:sz w:val="32"/>
          <w:szCs w:val="32"/>
          <w:lang w:val="en-US" w:eastAsia="zh-CN"/>
        </w:rPr>
        <w:t>五、对事故责任人员、责任单位及有关单位的处理建议</w:t>
      </w:r>
    </w:p>
    <w:p w14:paraId="7EE9D88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kern w:val="1"/>
          <w:sz w:val="32"/>
          <w:szCs w:val="32"/>
          <w:lang w:val="en-US" w:eastAsia="zh-CN"/>
        </w:rPr>
      </w:pPr>
      <w:r>
        <w:rPr>
          <w:rFonts w:hint="eastAsia" w:ascii="楷体_GB2312" w:hAnsi="楷体_GB2312" w:eastAsia="楷体_GB2312" w:cs="楷体_GB2312"/>
          <w:b/>
          <w:kern w:val="1"/>
          <w:sz w:val="32"/>
          <w:szCs w:val="32"/>
          <w:lang w:val="en-US" w:eastAsia="zh-CN"/>
        </w:rPr>
        <w:t>（一）对事故责任人员的处理建议</w:t>
      </w:r>
    </w:p>
    <w:p w14:paraId="7A3B22B4">
      <w:pPr>
        <w:pStyle w:val="7"/>
        <w:keepNext w:val="0"/>
        <w:keepLines w:val="0"/>
        <w:pageBreakBefore w:val="0"/>
        <w:widowControl w:val="0"/>
        <w:kinsoku/>
        <w:wordWrap/>
        <w:overflowPunct/>
        <w:topLinePunct w:val="0"/>
        <w:autoSpaceDN/>
        <w:bidi w:val="0"/>
        <w:adjustRightInd w:val="0"/>
        <w:snapToGrid w:val="0"/>
        <w:spacing w:before="120" w:line="560" w:lineRule="exact"/>
        <w:ind w:right="17" w:firstLine="567"/>
        <w:jc w:val="both"/>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1.徐国雄，</w:t>
      </w:r>
      <w:r>
        <w:rPr>
          <w:rFonts w:hint="eastAsia" w:ascii="仿宋_GB2312" w:hAnsi="仿宋_GB2312" w:eastAsia="仿宋_GB2312" w:cs="仿宋_GB2312"/>
          <w:color w:val="auto"/>
          <w:sz w:val="32"/>
          <w:szCs w:val="32"/>
          <w:highlight w:val="none"/>
          <w:lang w:val="en-US" w:eastAsia="zh-CN"/>
        </w:rPr>
        <w:t>四川共创公司木工，安全意识淡薄，在</w:t>
      </w:r>
      <w:r>
        <w:rPr>
          <w:rFonts w:hint="eastAsia" w:ascii="仿宋_GB2312" w:hAnsi="仿宋_GB2312" w:eastAsia="仿宋_GB2312" w:cs="仿宋_GB2312"/>
          <w:color w:val="auto"/>
          <w:sz w:val="32"/>
          <w:szCs w:val="32"/>
          <w:lang w:val="en-US" w:eastAsia="zh-CN"/>
        </w:rPr>
        <w:t>工程收尾阶段清理建筑材料和垃圾过程中</w:t>
      </w:r>
      <w:r>
        <w:rPr>
          <w:rFonts w:hint="eastAsia" w:ascii="仿宋_GB2312" w:hAnsi="仿宋_GB2312" w:eastAsia="仿宋_GB2312" w:cs="仿宋_GB2312"/>
          <w:color w:val="auto"/>
          <w:sz w:val="32"/>
          <w:szCs w:val="32"/>
          <w:highlight w:val="none"/>
          <w:lang w:val="en-US" w:eastAsia="zh-CN"/>
        </w:rPr>
        <w:t>未注意安全</w:t>
      </w:r>
      <w:r>
        <w:rPr>
          <w:rFonts w:hint="eastAsia" w:ascii="仿宋_GB2312" w:hAnsi="仿宋_GB2312" w:eastAsia="仿宋_GB2312" w:cs="仿宋_GB2312"/>
          <w:kern w:val="2"/>
          <w:sz w:val="32"/>
          <w:szCs w:val="32"/>
          <w:highlight w:val="none"/>
          <w:lang w:val="en-US" w:eastAsia="zh-CN" w:bidi="ar-SA"/>
        </w:rPr>
        <w:t>，</w:t>
      </w:r>
      <w:r>
        <w:rPr>
          <w:rFonts w:hint="eastAsia" w:ascii="仿宋_GB2312" w:hAnsi="仿宋_GB2312" w:eastAsia="仿宋_GB2312" w:cs="仿宋_GB2312"/>
          <w:color w:val="auto"/>
          <w:kern w:val="2"/>
          <w:sz w:val="32"/>
          <w:szCs w:val="32"/>
          <w:highlight w:val="none"/>
          <w:lang w:val="en-US" w:eastAsia="zh-CN" w:bidi="ar-SA"/>
        </w:rPr>
        <w:t>进入封堵区域从已撤掉护栏的皮带廊侧面失足坠落后，面部向下撞击到地面及建筑材料和垃圾，</w:t>
      </w:r>
      <w:r>
        <w:rPr>
          <w:rFonts w:hint="eastAsia" w:ascii="仿宋" w:hAnsi="仿宋" w:eastAsia="仿宋" w:cs="仿宋"/>
          <w:color w:val="auto"/>
          <w:sz w:val="32"/>
          <w:szCs w:val="32"/>
          <w:lang w:val="en-US" w:eastAsia="zh-CN"/>
        </w:rPr>
        <w:t>对事故发生负有责任，鉴于其在事故中死亡，建议免于追究其责任。</w:t>
      </w:r>
    </w:p>
    <w:p w14:paraId="4714ACA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kern w:val="2"/>
          <w:sz w:val="32"/>
          <w:szCs w:val="32"/>
          <w:lang w:val="en-US" w:eastAsia="zh-CN" w:bidi="ar-SA"/>
        </w:rPr>
        <w:t>2.吴鸣宇，四川共创公司专业分包项目部安全员</w:t>
      </w:r>
      <w:r>
        <w:rPr>
          <w:rFonts w:hint="eastAsia" w:ascii="仿宋_GB2312" w:hAnsi="仿宋_GB2312" w:eastAsia="仿宋_GB2312" w:cs="仿宋_GB2312"/>
          <w:sz w:val="32"/>
          <w:szCs w:val="32"/>
          <w:highlight w:val="none"/>
          <w:lang w:eastAsia="zh-CN"/>
        </w:rPr>
        <w:t>，对高处临边存在的安全隐患检查不到位，日常安全教育提醒不到位，</w:t>
      </w:r>
      <w:r>
        <w:rPr>
          <w:rFonts w:hint="eastAsia" w:ascii="仿宋_GB2312" w:hAnsi="仿宋_GB2312" w:eastAsia="仿宋_GB2312" w:cs="仿宋_GB2312"/>
          <w:sz w:val="32"/>
          <w:szCs w:val="32"/>
          <w:highlight w:val="none"/>
          <w:lang w:val="en-US" w:eastAsia="zh-CN"/>
        </w:rPr>
        <w:t>对现场环境混乱不安视而不见，对存在的安全风险未引起重视，</w:t>
      </w:r>
      <w:r>
        <w:rPr>
          <w:rFonts w:hint="eastAsia" w:ascii="仿宋" w:hAnsi="仿宋" w:eastAsia="仿宋" w:cs="仿宋"/>
          <w:bCs/>
          <w:color w:val="000000"/>
          <w:kern w:val="2"/>
          <w:sz w:val="32"/>
          <w:szCs w:val="32"/>
          <w:highlight w:val="none"/>
          <w:lang w:val="en-US" w:eastAsia="zh-CN" w:bidi="ar-SA"/>
        </w:rPr>
        <w:t>未及时消除生产安全事故隐患，</w:t>
      </w:r>
      <w:r>
        <w:rPr>
          <w:rFonts w:hint="eastAsia" w:ascii="仿宋_GB2312" w:hAnsi="仿宋_GB2312" w:eastAsia="仿宋_GB2312" w:cs="仿宋_GB2312"/>
          <w:sz w:val="32"/>
          <w:szCs w:val="32"/>
          <w:highlight w:val="none"/>
          <w:lang w:val="en-US" w:eastAsia="zh-CN"/>
        </w:rPr>
        <w:t>违反了《中华人民共和国安全生产法》第二十五条第一款第（五）项</w:t>
      </w:r>
      <w:r>
        <w:rPr>
          <w:rStyle w:val="17"/>
          <w:rFonts w:hint="eastAsia" w:ascii="黑体" w:hAnsi="黑体" w:eastAsia="黑体" w:cs="黑体"/>
          <w:bCs/>
          <w:kern w:val="1"/>
          <w:sz w:val="32"/>
          <w:szCs w:val="32"/>
          <w:lang w:val="en-US" w:eastAsia="zh-CN"/>
        </w:rPr>
        <w:t>[</w:t>
      </w:r>
      <w:r>
        <w:rPr>
          <w:rStyle w:val="17"/>
          <w:rFonts w:hint="eastAsia" w:ascii="黑体" w:hAnsi="黑体" w:eastAsia="黑体" w:cs="黑体"/>
          <w:bCs/>
          <w:kern w:val="1"/>
          <w:sz w:val="32"/>
          <w:szCs w:val="32"/>
          <w:lang w:val="en-US" w:eastAsia="zh-CN"/>
        </w:rPr>
        <w:footnoteReference w:id="1"/>
      </w:r>
      <w:r>
        <w:rPr>
          <w:rStyle w:val="17"/>
          <w:rFonts w:hint="eastAsia" w:ascii="黑体" w:hAnsi="黑体" w:eastAsia="黑体" w:cs="黑体"/>
          <w:bCs/>
          <w:kern w:val="1"/>
          <w:sz w:val="32"/>
          <w:szCs w:val="32"/>
          <w:lang w:val="en-US" w:eastAsia="zh-CN"/>
        </w:rPr>
        <w:t>]</w:t>
      </w:r>
      <w:r>
        <w:rPr>
          <w:rFonts w:hint="eastAsia" w:ascii="仿宋_GB2312" w:hAnsi="仿宋_GB2312" w:eastAsia="仿宋_GB2312" w:cs="仿宋_GB2312"/>
          <w:sz w:val="32"/>
          <w:szCs w:val="32"/>
          <w:highlight w:val="none"/>
          <w:lang w:val="en-US" w:eastAsia="zh-CN"/>
        </w:rPr>
        <w:t>，对事故发生负有责任，依据《中华人民共和国安全生产法》</w:t>
      </w:r>
      <w:r>
        <w:rPr>
          <w:rFonts w:hint="eastAsia" w:ascii="仿宋_GB2312" w:hAnsi="仿宋_GB2312" w:eastAsia="仿宋_GB2312" w:cs="仿宋_GB2312"/>
          <w:color w:val="auto"/>
          <w:sz w:val="32"/>
          <w:szCs w:val="32"/>
          <w:highlight w:val="none"/>
          <w:lang w:val="en-US" w:eastAsia="zh-CN"/>
        </w:rPr>
        <w:t>第九十六条</w:t>
      </w:r>
      <w:r>
        <w:rPr>
          <w:rStyle w:val="17"/>
          <w:rFonts w:hint="eastAsia" w:ascii="黑体" w:hAnsi="黑体" w:eastAsia="黑体" w:cs="黑体"/>
          <w:bCs/>
          <w:color w:val="auto"/>
          <w:kern w:val="1"/>
          <w:sz w:val="32"/>
          <w:szCs w:val="32"/>
          <w:lang w:val="en-US" w:eastAsia="zh-CN"/>
        </w:rPr>
        <w:t>[</w:t>
      </w:r>
      <w:r>
        <w:rPr>
          <w:rStyle w:val="17"/>
          <w:rFonts w:hint="eastAsia" w:ascii="黑体" w:hAnsi="黑体" w:eastAsia="黑体" w:cs="黑体"/>
          <w:bCs/>
          <w:color w:val="auto"/>
          <w:kern w:val="1"/>
          <w:sz w:val="32"/>
          <w:szCs w:val="32"/>
          <w:lang w:val="en-US" w:eastAsia="zh-CN"/>
        </w:rPr>
        <w:footnoteReference w:id="2"/>
      </w:r>
      <w:r>
        <w:rPr>
          <w:rStyle w:val="17"/>
          <w:rFonts w:hint="eastAsia" w:ascii="黑体" w:hAnsi="黑体" w:eastAsia="黑体" w:cs="黑体"/>
          <w:bCs/>
          <w:color w:val="auto"/>
          <w:kern w:val="1"/>
          <w:sz w:val="32"/>
          <w:szCs w:val="32"/>
          <w:lang w:val="en-US" w:eastAsia="zh-CN"/>
        </w:rPr>
        <w:t>]</w:t>
      </w:r>
      <w:r>
        <w:rPr>
          <w:rFonts w:hint="eastAsia" w:ascii="仿宋_GB2312" w:hAnsi="仿宋_GB2312" w:eastAsia="仿宋_GB2312" w:cs="仿宋_GB2312"/>
          <w:color w:val="auto"/>
          <w:sz w:val="32"/>
          <w:szCs w:val="32"/>
          <w:highlight w:val="none"/>
          <w:lang w:val="en-US" w:eastAsia="zh-CN"/>
        </w:rPr>
        <w:t>、《生产安全事故罚款处罚规定》第二十条第（一）项</w:t>
      </w:r>
      <w:r>
        <w:rPr>
          <w:rStyle w:val="17"/>
          <w:rFonts w:hint="eastAsia" w:ascii="黑体" w:hAnsi="黑体" w:eastAsia="黑体" w:cs="黑体"/>
          <w:bCs/>
          <w:color w:val="auto"/>
          <w:kern w:val="1"/>
          <w:sz w:val="32"/>
          <w:szCs w:val="32"/>
          <w:lang w:val="en-US" w:eastAsia="zh-CN"/>
        </w:rPr>
        <w:t>[</w:t>
      </w:r>
      <w:r>
        <w:rPr>
          <w:rStyle w:val="17"/>
          <w:rFonts w:hint="eastAsia" w:ascii="黑体" w:hAnsi="黑体" w:eastAsia="黑体" w:cs="黑体"/>
          <w:bCs/>
          <w:color w:val="auto"/>
          <w:kern w:val="1"/>
          <w:sz w:val="32"/>
          <w:szCs w:val="32"/>
          <w:lang w:val="en-US" w:eastAsia="zh-CN"/>
        </w:rPr>
        <w:footnoteReference w:id="3"/>
      </w:r>
      <w:r>
        <w:rPr>
          <w:rStyle w:val="17"/>
          <w:rFonts w:hint="eastAsia" w:ascii="黑体" w:hAnsi="黑体" w:eastAsia="黑体" w:cs="黑体"/>
          <w:bCs/>
          <w:color w:val="auto"/>
          <w:kern w:val="1"/>
          <w:sz w:val="32"/>
          <w:szCs w:val="32"/>
          <w:lang w:val="en-US" w:eastAsia="zh-CN"/>
        </w:rPr>
        <w:t>]</w:t>
      </w:r>
      <w:r>
        <w:rPr>
          <w:rFonts w:hint="eastAsia" w:ascii="仿宋_GB2312" w:hAnsi="仿宋_GB2312" w:eastAsia="仿宋_GB2312" w:cs="仿宋_GB2312"/>
          <w:color w:val="auto"/>
          <w:sz w:val="32"/>
          <w:szCs w:val="32"/>
          <w:highlight w:val="none"/>
          <w:lang w:val="en-US" w:eastAsia="zh-CN"/>
        </w:rPr>
        <w:t>，建议由市住建局暂停其与安全生产有关的资格3个月，建议市应急局对其处上一年年收入百分之二十的罚款的行政处罚</w:t>
      </w:r>
      <w:r>
        <w:rPr>
          <w:rFonts w:hint="eastAsia" w:ascii="仿宋_GB2312" w:hAnsi="仿宋_GB2312" w:eastAsia="仿宋_GB2312" w:cs="仿宋_GB2312"/>
          <w:color w:val="000000"/>
          <w:sz w:val="32"/>
          <w:szCs w:val="32"/>
          <w:highlight w:val="none"/>
          <w:lang w:val="en-US" w:eastAsia="zh-CN"/>
        </w:rPr>
        <w:t>。</w:t>
      </w:r>
    </w:p>
    <w:p w14:paraId="434D2AE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sz w:val="32"/>
          <w:szCs w:val="32"/>
          <w:highlight w:val="none"/>
          <w:lang w:val="en-US" w:eastAsia="zh-CN"/>
        </w:rPr>
        <w:t>3.胡学海，四川共创公司专业分包项目部工程经理，</w:t>
      </w:r>
      <w:r>
        <w:rPr>
          <w:rFonts w:hint="eastAsia" w:ascii="仿宋_GB2312" w:hAnsi="仿宋_GB2312" w:eastAsia="仿宋_GB2312" w:cs="仿宋_GB2312"/>
          <w:b w:val="0"/>
          <w:bCs w:val="0"/>
          <w:sz w:val="32"/>
          <w:szCs w:val="32"/>
          <w:highlight w:val="none"/>
          <w:lang w:val="en-US" w:eastAsia="zh-CN"/>
        </w:rPr>
        <w:t>未</w:t>
      </w:r>
      <w:r>
        <w:rPr>
          <w:rFonts w:hint="eastAsia" w:ascii="仿宋_GB2312" w:hAnsi="仿宋_GB2312" w:eastAsia="仿宋_GB2312" w:cs="仿宋_GB2312"/>
          <w:sz w:val="32"/>
          <w:szCs w:val="32"/>
          <w:highlight w:val="none"/>
          <w:lang w:val="en-US" w:eastAsia="zh-CN"/>
        </w:rPr>
        <w:t>按照《专项施工方案》要求对拆卸至地面的材料按指定地点随拆随运，对存在的安全风险未引起重视，</w:t>
      </w:r>
      <w:r>
        <w:rPr>
          <w:rFonts w:hint="eastAsia" w:ascii="仿宋_GB2312" w:hAnsi="仿宋_GB2312" w:eastAsia="仿宋_GB2312" w:cs="仿宋_GB2312"/>
          <w:sz w:val="32"/>
          <w:szCs w:val="32"/>
          <w:highlight w:val="none"/>
          <w:lang w:eastAsia="zh-CN"/>
        </w:rPr>
        <w:t>对高处临边存在的安全隐患检查不到位，</w:t>
      </w:r>
      <w:r>
        <w:rPr>
          <w:rFonts w:hint="eastAsia" w:ascii="仿宋" w:hAnsi="仿宋" w:eastAsia="仿宋" w:cs="仿宋"/>
          <w:bCs/>
          <w:color w:val="000000"/>
          <w:kern w:val="2"/>
          <w:sz w:val="32"/>
          <w:szCs w:val="32"/>
          <w:highlight w:val="none"/>
          <w:lang w:val="en-US" w:eastAsia="zh-CN" w:bidi="ar-SA"/>
        </w:rPr>
        <w:t>未及时消除生产安全事故隐患</w:t>
      </w:r>
      <w:r>
        <w:rPr>
          <w:rFonts w:hint="eastAsia" w:ascii="仿宋_GB2312" w:hAnsi="仿宋_GB2312" w:eastAsia="仿宋_GB2312" w:cs="仿宋_GB2312"/>
          <w:sz w:val="32"/>
          <w:szCs w:val="32"/>
          <w:highlight w:val="none"/>
          <w:lang w:val="en-US" w:eastAsia="zh-CN"/>
        </w:rPr>
        <w:t>，违反了《中华人民共和国安全生产法》第二十五条第一款第（五）项，对事故发生负有责任，依据《中华人民共和国安全生产法》</w:t>
      </w:r>
      <w:r>
        <w:rPr>
          <w:rFonts w:hint="eastAsia" w:ascii="仿宋_GB2312" w:hAnsi="仿宋_GB2312" w:eastAsia="仿宋_GB2312" w:cs="仿宋_GB2312"/>
          <w:color w:val="auto"/>
          <w:sz w:val="32"/>
          <w:szCs w:val="32"/>
          <w:highlight w:val="none"/>
          <w:lang w:val="en-US" w:eastAsia="zh-CN"/>
        </w:rPr>
        <w:t>第九十六条、《生产安全事故罚款处罚规定》第二十条第（一）项，建议市应急局对其处上一年年收入百分之二十的罚款的行政处罚</w:t>
      </w:r>
      <w:r>
        <w:rPr>
          <w:rFonts w:hint="eastAsia" w:ascii="仿宋_GB2312" w:hAnsi="仿宋_GB2312" w:eastAsia="仿宋_GB2312" w:cs="仿宋_GB2312"/>
          <w:color w:val="000000"/>
          <w:sz w:val="32"/>
          <w:szCs w:val="32"/>
          <w:highlight w:val="none"/>
          <w:lang w:val="en-US" w:eastAsia="zh-CN"/>
        </w:rPr>
        <w:t>。</w:t>
      </w:r>
    </w:p>
    <w:p w14:paraId="3D3E469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4.张富生，四川共创公司专业分包项目部项目经理，对工程项目收尾阶段的安全生产重视不足，事故发生时未在现场履职，安全检查不到位，日常安全教育提醒不到位，</w:t>
      </w:r>
      <w:r>
        <w:rPr>
          <w:rFonts w:hint="eastAsia" w:ascii="仿宋" w:hAnsi="仿宋" w:eastAsia="仿宋" w:cs="仿宋"/>
          <w:bCs/>
          <w:color w:val="000000"/>
          <w:kern w:val="2"/>
          <w:sz w:val="32"/>
          <w:szCs w:val="32"/>
          <w:highlight w:val="none"/>
          <w:lang w:val="en-US" w:eastAsia="zh-CN" w:bidi="ar-SA"/>
        </w:rPr>
        <w:t>未及时消除生产安全事故隐患</w:t>
      </w:r>
      <w:r>
        <w:rPr>
          <w:rFonts w:hint="eastAsia" w:ascii="仿宋_GB2312" w:hAnsi="仿宋_GB2312" w:eastAsia="仿宋_GB2312" w:cs="仿宋_GB2312"/>
          <w:sz w:val="32"/>
          <w:szCs w:val="32"/>
          <w:highlight w:val="none"/>
          <w:lang w:val="en-US" w:eastAsia="zh-CN"/>
        </w:rPr>
        <w:t>，违反了《中华人民共和国安全生产法》第二十五条第一款第（五）项，对事故发生负有责任，依据《中华人民共和国安全生产法》</w:t>
      </w:r>
      <w:r>
        <w:rPr>
          <w:rFonts w:hint="eastAsia" w:ascii="仿宋_GB2312" w:hAnsi="仿宋_GB2312" w:eastAsia="仿宋_GB2312" w:cs="仿宋_GB2312"/>
          <w:color w:val="auto"/>
          <w:sz w:val="32"/>
          <w:szCs w:val="32"/>
          <w:highlight w:val="none"/>
          <w:lang w:val="en-US" w:eastAsia="zh-CN"/>
        </w:rPr>
        <w:t>第九十六条、《生产安全事故罚款处罚规定》第二十条第（一）项，建议由市住建局暂停其与安全生产有关的资格3个月，建议市应急局对其处上一年年收入百分之二十的罚款的行政处罚</w:t>
      </w:r>
      <w:r>
        <w:rPr>
          <w:rFonts w:hint="eastAsia" w:ascii="仿宋_GB2312" w:hAnsi="仿宋_GB2312" w:eastAsia="仿宋_GB2312" w:cs="仿宋_GB2312"/>
          <w:color w:val="000000"/>
          <w:sz w:val="32"/>
          <w:szCs w:val="32"/>
          <w:highlight w:val="none"/>
          <w:lang w:val="en-US" w:eastAsia="zh-CN"/>
        </w:rPr>
        <w:t>。</w:t>
      </w:r>
    </w:p>
    <w:p w14:paraId="241E4B6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5.陈明春，四川共创公司法定代表人、总经理，</w:t>
      </w:r>
      <w:r>
        <w:rPr>
          <w:rFonts w:hint="eastAsia" w:ascii="仿宋_GB2312" w:hAnsi="仿宋_GB2312" w:eastAsia="仿宋_GB2312" w:cs="仿宋_GB2312"/>
          <w:b w:val="0"/>
          <w:bCs w:val="0"/>
          <w:sz w:val="32"/>
          <w:szCs w:val="32"/>
          <w:lang w:val="en-US" w:eastAsia="zh-CN"/>
        </w:rPr>
        <w:t>落实安全生产主体责任不到位，</w:t>
      </w:r>
      <w:r>
        <w:rPr>
          <w:rFonts w:hint="eastAsia" w:ascii="仿宋_GB2312" w:hAnsi="仿宋_GB2312" w:eastAsia="仿宋_GB2312" w:cs="仿宋_GB2312"/>
          <w:sz w:val="32"/>
          <w:szCs w:val="32"/>
          <w:highlight w:val="none"/>
          <w:lang w:val="en-US" w:eastAsia="zh-CN"/>
        </w:rPr>
        <w:t>对工程项目不重视，公司</w:t>
      </w:r>
      <w:r>
        <w:rPr>
          <w:rFonts w:hint="eastAsia" w:ascii="仿宋_GB2312" w:hAnsi="仿宋_GB2312" w:eastAsia="仿宋_GB2312" w:cs="仿宋_GB2312"/>
          <w:b w:val="0"/>
          <w:bCs w:val="0"/>
          <w:sz w:val="32"/>
          <w:szCs w:val="32"/>
          <w:lang w:val="en-US" w:eastAsia="zh-CN"/>
        </w:rPr>
        <w:t>项目部人员未有效履职，</w:t>
      </w:r>
      <w:r>
        <w:rPr>
          <w:rFonts w:hint="eastAsia" w:ascii="仿宋" w:hAnsi="仿宋" w:eastAsia="仿宋" w:cs="仿宋"/>
          <w:bCs/>
          <w:color w:val="000000"/>
          <w:kern w:val="2"/>
          <w:sz w:val="32"/>
          <w:szCs w:val="32"/>
          <w:highlight w:val="none"/>
          <w:lang w:val="en-US" w:eastAsia="zh-CN" w:bidi="ar-SA"/>
        </w:rPr>
        <w:t>未及时消除生产安全事故隐患</w:t>
      </w:r>
      <w:r>
        <w:rPr>
          <w:rFonts w:hint="eastAsia" w:ascii="仿宋_GB2312" w:hAnsi="仿宋_GB2312" w:eastAsia="仿宋_GB2312" w:cs="仿宋_GB2312"/>
          <w:sz w:val="32"/>
          <w:szCs w:val="32"/>
          <w:highlight w:val="none"/>
          <w:lang w:val="en-US" w:eastAsia="zh-CN"/>
        </w:rPr>
        <w:t>，违反《中华人民共和国安全生产法》第二十一条第（五）项</w:t>
      </w:r>
      <w:r>
        <w:rPr>
          <w:rStyle w:val="17"/>
          <w:rFonts w:hint="eastAsia" w:ascii="黑体" w:hAnsi="黑体" w:eastAsia="黑体" w:cs="黑体"/>
          <w:bCs/>
          <w:kern w:val="1"/>
          <w:sz w:val="32"/>
          <w:szCs w:val="32"/>
          <w:lang w:val="en-US" w:eastAsia="zh-CN"/>
        </w:rPr>
        <w:t>[</w:t>
      </w:r>
      <w:r>
        <w:rPr>
          <w:rStyle w:val="17"/>
          <w:rFonts w:hint="eastAsia" w:ascii="黑体" w:hAnsi="黑体" w:eastAsia="黑体" w:cs="黑体"/>
          <w:bCs/>
          <w:kern w:val="1"/>
          <w:sz w:val="32"/>
          <w:szCs w:val="32"/>
          <w:lang w:val="en-US" w:eastAsia="zh-CN"/>
        </w:rPr>
        <w:footnoteReference w:id="4"/>
      </w:r>
      <w:r>
        <w:rPr>
          <w:rStyle w:val="17"/>
          <w:rFonts w:hint="eastAsia" w:ascii="黑体" w:hAnsi="黑体" w:eastAsia="黑体" w:cs="黑体"/>
          <w:bCs/>
          <w:kern w:val="1"/>
          <w:sz w:val="32"/>
          <w:szCs w:val="32"/>
          <w:lang w:val="en-US" w:eastAsia="zh-CN"/>
        </w:rPr>
        <w:t>]</w:t>
      </w:r>
      <w:r>
        <w:rPr>
          <w:rFonts w:hint="eastAsia" w:ascii="仿宋_GB2312" w:hAnsi="仿宋_GB2312" w:eastAsia="仿宋_GB2312" w:cs="仿宋_GB2312"/>
          <w:sz w:val="32"/>
          <w:szCs w:val="32"/>
          <w:highlight w:val="none"/>
          <w:lang w:val="en-US" w:eastAsia="zh-CN"/>
        </w:rPr>
        <w:t>，对事故发生负有责任，依据《中华人民共和国安全生产法》第九十五条第（一）项</w:t>
      </w:r>
      <w:r>
        <w:rPr>
          <w:rStyle w:val="17"/>
          <w:rFonts w:hint="eastAsia" w:ascii="黑体" w:hAnsi="黑体" w:eastAsia="黑体" w:cs="黑体"/>
          <w:bCs/>
          <w:kern w:val="1"/>
          <w:sz w:val="32"/>
          <w:szCs w:val="32"/>
          <w:lang w:val="en-US" w:eastAsia="zh-CN"/>
        </w:rPr>
        <w:t>[</w:t>
      </w:r>
      <w:r>
        <w:rPr>
          <w:rStyle w:val="17"/>
          <w:rFonts w:hint="eastAsia" w:ascii="黑体" w:hAnsi="黑体" w:eastAsia="黑体" w:cs="黑体"/>
          <w:bCs/>
          <w:kern w:val="1"/>
          <w:sz w:val="32"/>
          <w:szCs w:val="32"/>
          <w:lang w:val="en-US" w:eastAsia="zh-CN"/>
        </w:rPr>
        <w:footnoteReference w:id="5"/>
      </w:r>
      <w:r>
        <w:rPr>
          <w:rStyle w:val="17"/>
          <w:rFonts w:hint="eastAsia" w:ascii="黑体" w:hAnsi="黑体" w:eastAsia="黑体" w:cs="黑体"/>
          <w:bCs/>
          <w:kern w:val="1"/>
          <w:sz w:val="32"/>
          <w:szCs w:val="32"/>
          <w:lang w:val="en-US" w:eastAsia="zh-CN"/>
        </w:rPr>
        <w:t>]</w:t>
      </w:r>
      <w:r>
        <w:rPr>
          <w:rFonts w:hint="eastAsia" w:ascii="仿宋_GB2312" w:hAnsi="仿宋_GB2312" w:eastAsia="仿宋_GB2312" w:cs="仿宋_GB2312"/>
          <w:sz w:val="32"/>
          <w:szCs w:val="32"/>
          <w:highlight w:val="none"/>
          <w:lang w:val="en-US" w:eastAsia="zh-CN"/>
        </w:rPr>
        <w:t>、《生产安全事故罚款处罚规定》第十九条第（一）项</w:t>
      </w:r>
      <w:r>
        <w:rPr>
          <w:rStyle w:val="17"/>
          <w:rFonts w:hint="eastAsia" w:ascii="黑体" w:hAnsi="黑体" w:eastAsia="黑体" w:cs="黑体"/>
          <w:bCs/>
          <w:kern w:val="1"/>
          <w:sz w:val="32"/>
          <w:szCs w:val="32"/>
          <w:lang w:val="en-US" w:eastAsia="zh-CN"/>
        </w:rPr>
        <w:t>[</w:t>
      </w:r>
      <w:r>
        <w:rPr>
          <w:rStyle w:val="17"/>
          <w:rFonts w:hint="eastAsia" w:ascii="黑体" w:hAnsi="黑体" w:eastAsia="黑体" w:cs="黑体"/>
          <w:bCs/>
          <w:kern w:val="1"/>
          <w:sz w:val="32"/>
          <w:szCs w:val="32"/>
          <w:lang w:val="en-US" w:eastAsia="zh-CN"/>
        </w:rPr>
        <w:footnoteReference w:id="6"/>
      </w:r>
      <w:r>
        <w:rPr>
          <w:rStyle w:val="17"/>
          <w:rFonts w:hint="eastAsia" w:ascii="黑体" w:hAnsi="黑体" w:eastAsia="黑体" w:cs="黑体"/>
          <w:bCs/>
          <w:kern w:val="1"/>
          <w:sz w:val="32"/>
          <w:szCs w:val="32"/>
          <w:lang w:val="en-US" w:eastAsia="zh-CN"/>
        </w:rPr>
        <w:t>]</w:t>
      </w:r>
      <w:r>
        <w:rPr>
          <w:rFonts w:hint="eastAsia" w:ascii="仿宋_GB2312" w:hAnsi="仿宋" w:eastAsia="仿宋_GB2312" w:cs="Times New Roman"/>
          <w:color w:val="000000"/>
          <w:kern w:val="2"/>
          <w:sz w:val="32"/>
          <w:szCs w:val="32"/>
          <w:lang w:val="en-US" w:eastAsia="zh-CN" w:bidi="ar-SA"/>
        </w:rPr>
        <w:t>，</w:t>
      </w:r>
      <w:r>
        <w:rPr>
          <w:rFonts w:hint="eastAsia" w:ascii="仿宋_GB2312" w:hAnsi="仿宋_GB2312" w:eastAsia="仿宋_GB2312" w:cs="仿宋_GB2312"/>
          <w:color w:val="auto"/>
          <w:sz w:val="32"/>
          <w:szCs w:val="32"/>
          <w:highlight w:val="none"/>
          <w:lang w:val="en-US" w:eastAsia="zh-CN"/>
        </w:rPr>
        <w:t>建议市应急局对其处上一年年收入百分之四十的罚款的行政处罚</w:t>
      </w:r>
      <w:r>
        <w:rPr>
          <w:rFonts w:hint="eastAsia" w:ascii="仿宋_GB2312" w:hAnsi="仿宋_GB2312" w:eastAsia="仿宋_GB2312" w:cs="仿宋_GB2312"/>
          <w:color w:val="000000"/>
          <w:sz w:val="32"/>
          <w:szCs w:val="32"/>
          <w:highlight w:val="none"/>
          <w:lang w:val="en-US" w:eastAsia="zh-CN"/>
        </w:rPr>
        <w:t>。</w:t>
      </w:r>
    </w:p>
    <w:p w14:paraId="61E13BE1">
      <w:pPr>
        <w:pStyle w:val="2"/>
        <w:keepNext w:val="0"/>
        <w:keepLines w:val="0"/>
        <w:pageBreakBefore w:val="0"/>
        <w:widowControl w:val="0"/>
        <w:kinsoku/>
        <w:wordWrap/>
        <w:overflowPunct/>
        <w:topLinePunct w:val="0"/>
        <w:autoSpaceDN/>
        <w:bidi w:val="0"/>
        <w:adjustRightInd/>
        <w:spacing w:line="560" w:lineRule="exact"/>
        <w:ind w:firstLine="640" w:firstLineChars="200"/>
        <w:jc w:val="both"/>
        <w:textAlignment w:val="auto"/>
        <w:rPr>
          <w:rFonts w:hint="eastAsia" w:ascii="仿宋" w:hAnsi="仿宋" w:eastAsia="仿宋" w:cs="仿宋"/>
          <w:color w:val="000000"/>
          <w:sz w:val="32"/>
          <w:szCs w:val="32"/>
          <w:lang w:val="en-US" w:eastAsia="zh-CN"/>
        </w:rPr>
      </w:pPr>
      <w:r>
        <w:rPr>
          <w:rFonts w:hint="eastAsia" w:ascii="仿宋_GB2312" w:hAnsi="仿宋_GB2312" w:eastAsia="仿宋_GB2312" w:cs="仿宋_GB2312"/>
          <w:sz w:val="32"/>
          <w:szCs w:val="32"/>
          <w:highlight w:val="none"/>
          <w:lang w:val="en-US" w:eastAsia="zh-CN"/>
        </w:rPr>
        <w:t>6.刘占国，二十二冶集团金结公司总承包项目部执行经理，在项目经理外出期间代管项目部，</w:t>
      </w:r>
      <w:r>
        <w:rPr>
          <w:rFonts w:hint="eastAsia" w:ascii="仿宋_GB2312" w:hAnsi="仿宋_GB2312" w:eastAsia="仿宋_GB2312" w:cs="仿宋_GB2312"/>
          <w:b w:val="0"/>
          <w:bCs w:val="0"/>
          <w:sz w:val="32"/>
          <w:szCs w:val="32"/>
          <w:highlight w:val="none"/>
          <w:lang w:val="en-US" w:eastAsia="zh-CN"/>
        </w:rPr>
        <w:t>对四川共创公司安全生产统一协调管理不到位，对工程项目收尾阶段专业分包单位项目经理等管理人员未在岗履职监督管理不到位，对施工现场环境要求标准低、管理松散、安全检查不严格，违反了《中华人民共和国安全生产法》第四十九条第二款</w:t>
      </w:r>
      <w:r>
        <w:rPr>
          <w:rStyle w:val="17"/>
          <w:rFonts w:hint="eastAsia" w:ascii="黑体" w:hAnsi="黑体" w:eastAsia="黑体" w:cs="黑体"/>
          <w:bCs/>
          <w:kern w:val="1"/>
          <w:sz w:val="32"/>
          <w:szCs w:val="32"/>
          <w:lang w:val="en-US" w:eastAsia="zh-CN" w:bidi="ar-SA"/>
        </w:rPr>
        <w:t>[</w:t>
      </w:r>
      <w:r>
        <w:rPr>
          <w:rStyle w:val="17"/>
          <w:rFonts w:hint="eastAsia" w:ascii="黑体" w:hAnsi="黑体" w:eastAsia="黑体" w:cs="黑体"/>
          <w:bCs/>
          <w:kern w:val="1"/>
          <w:sz w:val="32"/>
          <w:szCs w:val="32"/>
          <w:lang w:val="en-US" w:eastAsia="zh-CN" w:bidi="ar-SA"/>
        </w:rPr>
        <w:footnoteReference w:id="7"/>
      </w:r>
      <w:r>
        <w:rPr>
          <w:rStyle w:val="17"/>
          <w:rFonts w:hint="eastAsia" w:ascii="黑体" w:hAnsi="黑体" w:eastAsia="黑体" w:cs="黑体"/>
          <w:bCs/>
          <w:kern w:val="1"/>
          <w:sz w:val="32"/>
          <w:szCs w:val="32"/>
          <w:lang w:val="en-US" w:eastAsia="zh-CN" w:bidi="ar-SA"/>
        </w:rPr>
        <w:t>]</w:t>
      </w:r>
      <w:r>
        <w:rPr>
          <w:rFonts w:hint="eastAsia" w:ascii="仿宋_GB2312" w:hAnsi="仿宋_GB2312" w:eastAsia="仿宋_GB2312" w:cs="仿宋_GB2312"/>
          <w:b w:val="0"/>
          <w:bCs w:val="0"/>
          <w:sz w:val="32"/>
          <w:szCs w:val="32"/>
          <w:highlight w:val="none"/>
          <w:lang w:val="en-US" w:eastAsia="zh-CN"/>
        </w:rPr>
        <w:t>，依据《中华人民共和国安全生产法》第一百零三条第二款</w:t>
      </w:r>
      <w:r>
        <w:rPr>
          <w:rStyle w:val="17"/>
          <w:rFonts w:hint="eastAsia" w:ascii="黑体" w:hAnsi="黑体" w:eastAsia="黑体" w:cs="黑体"/>
          <w:bCs/>
          <w:kern w:val="1"/>
          <w:sz w:val="32"/>
          <w:szCs w:val="32"/>
          <w:lang w:val="en-US" w:eastAsia="zh-CN" w:bidi="ar-SA"/>
        </w:rPr>
        <w:t>[</w:t>
      </w:r>
      <w:r>
        <w:rPr>
          <w:rStyle w:val="17"/>
          <w:rFonts w:hint="eastAsia" w:ascii="黑体" w:hAnsi="黑体" w:eastAsia="黑体" w:cs="黑体"/>
          <w:bCs/>
          <w:kern w:val="1"/>
          <w:sz w:val="32"/>
          <w:szCs w:val="32"/>
          <w:lang w:val="en-US" w:eastAsia="zh-CN" w:bidi="ar-SA"/>
        </w:rPr>
        <w:footnoteReference w:id="8"/>
      </w:r>
      <w:r>
        <w:rPr>
          <w:rStyle w:val="17"/>
          <w:rFonts w:hint="eastAsia" w:ascii="黑体" w:hAnsi="黑体" w:eastAsia="黑体" w:cs="黑体"/>
          <w:bCs/>
          <w:kern w:val="1"/>
          <w:sz w:val="32"/>
          <w:szCs w:val="32"/>
          <w:lang w:val="en-US" w:eastAsia="zh-CN" w:bidi="ar-SA"/>
        </w:rPr>
        <w:t>]</w:t>
      </w:r>
      <w:r>
        <w:rPr>
          <w:rFonts w:hint="eastAsia" w:ascii="仿宋_GB2312" w:hAnsi="仿宋_GB2312" w:eastAsia="仿宋_GB2312" w:cs="仿宋_GB2312"/>
          <w:b w:val="0"/>
          <w:bCs w:val="0"/>
          <w:sz w:val="32"/>
          <w:szCs w:val="32"/>
          <w:highlight w:val="none"/>
          <w:lang w:val="en-US" w:eastAsia="zh-CN"/>
        </w:rPr>
        <w:t>、《应急管理行政处罚裁量权基准》裁量细则第58项B档</w:t>
      </w:r>
      <w:r>
        <w:rPr>
          <w:rStyle w:val="17"/>
          <w:rFonts w:hint="eastAsia" w:ascii="黑体" w:hAnsi="黑体" w:eastAsia="黑体" w:cs="黑体"/>
          <w:bCs/>
          <w:kern w:val="1"/>
          <w:sz w:val="32"/>
          <w:szCs w:val="32"/>
          <w:lang w:val="en-US" w:eastAsia="zh-CN" w:bidi="ar-SA"/>
        </w:rPr>
        <w:t>[</w:t>
      </w:r>
      <w:r>
        <w:rPr>
          <w:rStyle w:val="17"/>
          <w:rFonts w:hint="eastAsia" w:ascii="黑体" w:hAnsi="黑体" w:eastAsia="黑体" w:cs="黑体"/>
          <w:bCs/>
          <w:kern w:val="1"/>
          <w:sz w:val="32"/>
          <w:szCs w:val="32"/>
          <w:lang w:val="en-US" w:eastAsia="zh-CN" w:bidi="ar-SA"/>
        </w:rPr>
        <w:footnoteReference w:id="9"/>
      </w:r>
      <w:r>
        <w:rPr>
          <w:rStyle w:val="17"/>
          <w:rFonts w:hint="eastAsia" w:ascii="黑体" w:hAnsi="黑体" w:eastAsia="黑体" w:cs="黑体"/>
          <w:bCs/>
          <w:kern w:val="1"/>
          <w:sz w:val="32"/>
          <w:szCs w:val="32"/>
          <w:lang w:val="en-US" w:eastAsia="zh-CN" w:bidi="ar-SA"/>
        </w:rPr>
        <w:t>]</w:t>
      </w:r>
      <w:r>
        <w:rPr>
          <w:rFonts w:hint="eastAsia" w:ascii="仿宋_GB2312" w:hAnsi="仿宋_GB2312" w:eastAsia="仿宋_GB2312" w:cs="仿宋_GB2312"/>
          <w:b w:val="0"/>
          <w:bCs w:val="0"/>
          <w:sz w:val="32"/>
          <w:szCs w:val="32"/>
          <w:highlight w:val="none"/>
          <w:lang w:val="en-US" w:eastAsia="zh-CN"/>
        </w:rPr>
        <w:t>，建议由市应急局对其行政处罚。</w:t>
      </w:r>
    </w:p>
    <w:p w14:paraId="1F6FE8ED">
      <w:pPr>
        <w:pStyle w:val="2"/>
        <w:keepNext w:val="0"/>
        <w:keepLines w:val="0"/>
        <w:pageBreakBefore w:val="0"/>
        <w:widowControl w:val="0"/>
        <w:kinsoku/>
        <w:wordWrap/>
        <w:overflowPunct/>
        <w:topLinePunct w:val="0"/>
        <w:autoSpaceDN/>
        <w:bidi w:val="0"/>
        <w:adjustRightInd/>
        <w:spacing w:line="560" w:lineRule="exact"/>
        <w:ind w:firstLine="640" w:firstLineChars="200"/>
        <w:jc w:val="both"/>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7.曹成，</w:t>
      </w:r>
      <w:r>
        <w:rPr>
          <w:rFonts w:hint="eastAsia" w:ascii="仿宋_GB2312" w:hAnsi="仿宋_GB2312" w:eastAsia="仿宋_GB2312" w:cs="仿宋_GB2312"/>
          <w:kern w:val="2"/>
          <w:sz w:val="32"/>
          <w:szCs w:val="32"/>
          <w:lang w:val="en-US" w:eastAsia="zh-CN" w:bidi="ar-SA"/>
        </w:rPr>
        <w:t>抚顺新钢铁公司</w:t>
      </w:r>
      <w:r>
        <w:rPr>
          <w:rFonts w:hint="eastAsia" w:ascii="仿宋_GB2312" w:hAnsi="仿宋_GB2312" w:eastAsia="仿宋_GB2312" w:cs="仿宋_GB2312"/>
          <w:color w:val="auto"/>
          <w:kern w:val="2"/>
          <w:sz w:val="32"/>
          <w:szCs w:val="32"/>
          <w:highlight w:val="none"/>
          <w:lang w:val="en-US" w:eastAsia="zh-CN" w:bidi="ar-SA"/>
        </w:rPr>
        <w:t>发包方项目部</w:t>
      </w:r>
      <w:r>
        <w:rPr>
          <w:rFonts w:hint="eastAsia" w:ascii="仿宋_GB2312" w:hAnsi="仿宋_GB2312" w:eastAsia="仿宋_GB2312" w:cs="仿宋_GB2312"/>
          <w:kern w:val="2"/>
          <w:sz w:val="32"/>
          <w:szCs w:val="32"/>
          <w:lang w:val="en-US" w:eastAsia="zh-CN" w:bidi="ar-SA"/>
        </w:rPr>
        <w:t>发包人代表、项目经理，</w:t>
      </w:r>
      <w:r>
        <w:rPr>
          <w:rFonts w:hint="eastAsia" w:ascii="仿宋_GB2312" w:hAnsi="仿宋_GB2312" w:eastAsia="仿宋_GB2312" w:cs="仿宋_GB2312"/>
          <w:b w:val="0"/>
          <w:bCs w:val="0"/>
          <w:sz w:val="32"/>
          <w:szCs w:val="32"/>
          <w:highlight w:val="none"/>
          <w:lang w:val="en-US" w:eastAsia="zh-CN"/>
        </w:rPr>
        <w:t>对二十二冶集团金结公司、四川共创公司安全生产统一协调管理不到位，对总承包项目部落实安全生产责任监督不到位，对施工现场安全条件差检查及督促整改不到位，违反了《中华人民共和国安全生产法》第四十九条第二款，依据《中华人民共和国安全生产法》第一百零三条第二款、《应急管理行政处罚裁量权基准》裁量细则第58项B档，建议由市应急局对其行政处罚。</w:t>
      </w:r>
    </w:p>
    <w:p w14:paraId="4BB0B322">
      <w:pPr>
        <w:keepNext w:val="0"/>
        <w:keepLines w:val="0"/>
        <w:pageBreakBefore w:val="0"/>
        <w:widowControl w:val="0"/>
        <w:kinsoku/>
        <w:wordWrap/>
        <w:overflowPunct/>
        <w:topLinePunct w:val="0"/>
        <w:autoSpaceDE/>
        <w:autoSpaceDN/>
        <w:bidi w:val="0"/>
        <w:adjustRightInd/>
        <w:spacing w:line="560" w:lineRule="exact"/>
        <w:ind w:firstLine="643" w:firstLineChars="0"/>
        <w:textAlignment w:val="auto"/>
        <w:outlineLvl w:val="1"/>
        <w:rPr>
          <w:rFonts w:hint="eastAsia" w:ascii="楷体_GB2312" w:hAnsi="楷体_GB2312" w:eastAsia="楷体_GB2312" w:cs="楷体_GB2312"/>
          <w:b/>
          <w:bCs w:val="0"/>
          <w:color w:val="000000"/>
          <w:sz w:val="32"/>
          <w:szCs w:val="32"/>
          <w:lang w:eastAsia="zh-CN"/>
        </w:rPr>
      </w:pPr>
      <w:r>
        <w:rPr>
          <w:rFonts w:hint="eastAsia" w:ascii="楷体_GB2312" w:hAnsi="楷体_GB2312" w:eastAsia="楷体_GB2312" w:cs="楷体_GB2312"/>
          <w:b/>
          <w:bCs/>
          <w:color w:val="000000"/>
          <w:sz w:val="32"/>
          <w:szCs w:val="32"/>
        </w:rPr>
        <w:t>（二）</w:t>
      </w:r>
      <w:r>
        <w:rPr>
          <w:rFonts w:hint="eastAsia" w:ascii="楷体_GB2312" w:hAnsi="楷体_GB2312" w:eastAsia="楷体_GB2312" w:cs="楷体_GB2312"/>
          <w:b/>
          <w:bCs w:val="0"/>
          <w:color w:val="000000"/>
          <w:sz w:val="32"/>
          <w:szCs w:val="32"/>
          <w:lang w:eastAsia="zh-CN"/>
        </w:rPr>
        <w:t>事故责任单位的处理建议</w:t>
      </w:r>
    </w:p>
    <w:p w14:paraId="64085F4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Cs/>
          <w:color w:val="000000"/>
          <w:kern w:val="2"/>
          <w:sz w:val="32"/>
          <w:szCs w:val="32"/>
          <w:highlight w:val="none"/>
          <w:lang w:val="en-US" w:eastAsia="zh-CN" w:bidi="ar-SA"/>
        </w:rPr>
      </w:pPr>
      <w:bookmarkStart w:id="0" w:name="OLE_LINK98"/>
      <w:r>
        <w:rPr>
          <w:rFonts w:hint="eastAsia" w:ascii="仿宋_GB2312" w:hAnsi="仿宋_GB2312" w:eastAsia="仿宋_GB2312" w:cs="仿宋_GB2312"/>
          <w:color w:val="auto"/>
          <w:sz w:val="32"/>
          <w:szCs w:val="32"/>
          <w:highlight w:val="none"/>
          <w:lang w:val="en-US" w:eastAsia="zh-CN"/>
        </w:rPr>
        <w:t>四川共创公司，</w:t>
      </w:r>
      <w:r>
        <w:rPr>
          <w:rFonts w:hint="eastAsia" w:ascii="仿宋_GB2312" w:hAnsi="仿宋_GB2312" w:eastAsia="仿宋_GB2312" w:cs="仿宋_GB2312"/>
          <w:b w:val="0"/>
          <w:bCs w:val="0"/>
          <w:sz w:val="32"/>
          <w:szCs w:val="32"/>
          <w:lang w:val="en-US" w:eastAsia="zh-CN"/>
        </w:rPr>
        <w:t>落实安全生产主体责任不到位，</w:t>
      </w:r>
      <w:r>
        <w:rPr>
          <w:rFonts w:hint="eastAsia" w:ascii="仿宋_GB2312" w:hAnsi="仿宋_GB2312" w:eastAsia="仿宋_GB2312" w:cs="仿宋_GB2312"/>
          <w:sz w:val="32"/>
          <w:szCs w:val="32"/>
          <w:highlight w:val="none"/>
          <w:lang w:eastAsia="zh-CN"/>
        </w:rPr>
        <w:t>对工程项目收尾阶段的安全生产重视不足，安全检查不到位，</w:t>
      </w:r>
      <w:r>
        <w:rPr>
          <w:rFonts w:hint="eastAsia" w:ascii="仿宋" w:hAnsi="仿宋" w:eastAsia="仿宋" w:cs="仿宋"/>
          <w:bCs/>
          <w:color w:val="000000"/>
          <w:kern w:val="2"/>
          <w:sz w:val="32"/>
          <w:szCs w:val="32"/>
          <w:highlight w:val="none"/>
          <w:lang w:val="en-US" w:eastAsia="zh-CN" w:bidi="ar-SA"/>
        </w:rPr>
        <w:t>未及时消除生产安全事故隐患，项目部经理未在工程项目现场，</w:t>
      </w:r>
      <w:r>
        <w:rPr>
          <w:rFonts w:hint="eastAsia" w:ascii="仿宋_GB2312" w:hAnsi="仿宋_GB2312" w:eastAsia="仿宋_GB2312" w:cs="仿宋_GB2312"/>
          <w:b w:val="0"/>
          <w:bCs w:val="0"/>
          <w:sz w:val="32"/>
          <w:szCs w:val="32"/>
          <w:lang w:val="en-US" w:eastAsia="zh-CN"/>
        </w:rPr>
        <w:t>项目部人员未有效履职，</w:t>
      </w:r>
      <w:r>
        <w:rPr>
          <w:rFonts w:hint="eastAsia" w:ascii="仿宋" w:hAnsi="仿宋" w:eastAsia="仿宋" w:cs="仿宋"/>
          <w:bCs/>
          <w:kern w:val="2"/>
          <w:sz w:val="32"/>
          <w:szCs w:val="32"/>
          <w:highlight w:val="none"/>
          <w:lang w:val="en-US" w:eastAsia="zh-CN" w:bidi="ar-SA"/>
        </w:rPr>
        <w:t>违反了《中华人民共和国安全生产法》第四条第一款</w:t>
      </w:r>
      <w:r>
        <w:rPr>
          <w:rStyle w:val="17"/>
          <w:rFonts w:hint="eastAsia" w:ascii="仿宋" w:hAnsi="仿宋" w:eastAsia="仿宋" w:cs="仿宋"/>
          <w:bCs/>
          <w:kern w:val="2"/>
          <w:sz w:val="32"/>
          <w:szCs w:val="32"/>
          <w:highlight w:val="none"/>
          <w:lang w:val="en-US" w:eastAsia="zh-CN" w:bidi="ar-SA"/>
        </w:rPr>
        <w:t>[</w:t>
      </w:r>
      <w:r>
        <w:rPr>
          <w:rStyle w:val="17"/>
          <w:rFonts w:hint="eastAsia" w:ascii="仿宋" w:hAnsi="仿宋" w:eastAsia="仿宋" w:cs="仿宋"/>
          <w:bCs/>
          <w:kern w:val="2"/>
          <w:sz w:val="32"/>
          <w:szCs w:val="32"/>
          <w:highlight w:val="none"/>
          <w:lang w:val="en-US" w:eastAsia="zh-CN" w:bidi="ar-SA"/>
        </w:rPr>
        <w:footnoteReference w:id="10"/>
      </w:r>
      <w:r>
        <w:rPr>
          <w:rStyle w:val="17"/>
          <w:rFonts w:hint="eastAsia" w:ascii="仿宋" w:hAnsi="仿宋" w:eastAsia="仿宋" w:cs="仿宋"/>
          <w:bCs/>
          <w:kern w:val="2"/>
          <w:sz w:val="32"/>
          <w:szCs w:val="32"/>
          <w:highlight w:val="none"/>
          <w:lang w:val="en-US" w:eastAsia="zh-CN" w:bidi="ar-SA"/>
        </w:rPr>
        <w:t>]</w:t>
      </w:r>
      <w:r>
        <w:rPr>
          <w:rFonts w:hint="eastAsia" w:ascii="仿宋" w:hAnsi="仿宋" w:eastAsia="仿宋" w:cs="仿宋"/>
          <w:bCs/>
          <w:kern w:val="2"/>
          <w:sz w:val="32"/>
          <w:szCs w:val="32"/>
          <w:highlight w:val="none"/>
          <w:lang w:val="en-US" w:eastAsia="zh-CN" w:bidi="ar-SA"/>
        </w:rPr>
        <w:t>，</w:t>
      </w:r>
      <w:r>
        <w:rPr>
          <w:rFonts w:hint="eastAsia" w:ascii="仿宋" w:hAnsi="仿宋" w:eastAsia="仿宋" w:cs="仿宋"/>
          <w:sz w:val="32"/>
          <w:szCs w:val="32"/>
          <w:lang w:val="en-US" w:eastAsia="zh-CN"/>
        </w:rPr>
        <w:t>对事故发生负有责任，</w:t>
      </w:r>
      <w:r>
        <w:rPr>
          <w:rFonts w:hint="eastAsia" w:ascii="仿宋" w:hAnsi="仿宋" w:eastAsia="仿宋" w:cs="仿宋"/>
          <w:bCs/>
          <w:kern w:val="2"/>
          <w:sz w:val="32"/>
          <w:szCs w:val="32"/>
          <w:highlight w:val="none"/>
          <w:lang w:val="en-US" w:eastAsia="zh-CN" w:bidi="ar-SA"/>
        </w:rPr>
        <w:t>依据《中华人民共和国安全生产法》第一百一十四条第一款第（一）项</w:t>
      </w:r>
      <w:r>
        <w:rPr>
          <w:rStyle w:val="17"/>
          <w:rFonts w:hint="eastAsia" w:ascii="仿宋" w:hAnsi="仿宋" w:eastAsia="仿宋" w:cs="仿宋"/>
          <w:bCs/>
          <w:kern w:val="2"/>
          <w:sz w:val="32"/>
          <w:szCs w:val="32"/>
          <w:highlight w:val="none"/>
          <w:lang w:val="en-US" w:eastAsia="zh-CN" w:bidi="ar-SA"/>
        </w:rPr>
        <w:t>[</w:t>
      </w:r>
      <w:r>
        <w:rPr>
          <w:rStyle w:val="17"/>
          <w:rFonts w:hint="eastAsia" w:ascii="仿宋" w:hAnsi="仿宋" w:eastAsia="仿宋" w:cs="仿宋"/>
          <w:bCs/>
          <w:kern w:val="2"/>
          <w:sz w:val="32"/>
          <w:szCs w:val="32"/>
          <w:highlight w:val="none"/>
          <w:lang w:val="en-US" w:eastAsia="zh-CN" w:bidi="ar-SA"/>
        </w:rPr>
        <w:footnoteReference w:id="11"/>
      </w:r>
      <w:r>
        <w:rPr>
          <w:rStyle w:val="17"/>
          <w:rFonts w:hint="eastAsia" w:ascii="仿宋" w:hAnsi="仿宋" w:eastAsia="仿宋" w:cs="仿宋"/>
          <w:bCs/>
          <w:kern w:val="2"/>
          <w:sz w:val="32"/>
          <w:szCs w:val="32"/>
          <w:highlight w:val="none"/>
          <w:lang w:val="en-US" w:eastAsia="zh-CN" w:bidi="ar-SA"/>
        </w:rPr>
        <w:t>]</w:t>
      </w:r>
      <w:r>
        <w:rPr>
          <w:rFonts w:hint="eastAsia" w:ascii="仿宋" w:hAnsi="仿宋" w:eastAsia="仿宋" w:cs="仿宋"/>
          <w:bCs/>
          <w:kern w:val="2"/>
          <w:sz w:val="32"/>
          <w:szCs w:val="32"/>
          <w:highlight w:val="none"/>
          <w:lang w:val="en-US" w:eastAsia="zh-CN" w:bidi="ar-SA"/>
        </w:rPr>
        <w:t>，《生产安全事故罚款处罚规定》第十四条第（二）项</w:t>
      </w:r>
      <w:r>
        <w:rPr>
          <w:rFonts w:hint="eastAsia" w:ascii="仿宋" w:hAnsi="仿宋" w:eastAsia="仿宋" w:cs="仿宋"/>
          <w:bCs/>
          <w:kern w:val="2"/>
          <w:sz w:val="32"/>
          <w:szCs w:val="32"/>
          <w:highlight w:val="none"/>
          <w:vertAlign w:val="superscript"/>
          <w:lang w:val="en-US" w:eastAsia="zh-CN" w:bidi="ar-SA"/>
        </w:rPr>
        <w:t>[</w:t>
      </w:r>
      <w:r>
        <w:rPr>
          <w:rFonts w:hint="eastAsia" w:ascii="仿宋" w:hAnsi="仿宋" w:eastAsia="仿宋" w:cs="仿宋"/>
          <w:bCs/>
          <w:kern w:val="2"/>
          <w:sz w:val="32"/>
          <w:szCs w:val="32"/>
          <w:highlight w:val="none"/>
          <w:vertAlign w:val="superscript"/>
          <w:lang w:val="en-US" w:eastAsia="zh-CN" w:bidi="ar-SA"/>
        </w:rPr>
        <w:footnoteReference w:id="12"/>
      </w:r>
      <w:r>
        <w:rPr>
          <w:rFonts w:hint="eastAsia" w:ascii="仿宋" w:hAnsi="仿宋" w:eastAsia="仿宋" w:cs="仿宋"/>
          <w:bCs/>
          <w:kern w:val="2"/>
          <w:sz w:val="32"/>
          <w:szCs w:val="32"/>
          <w:highlight w:val="none"/>
          <w:vertAlign w:val="superscript"/>
          <w:lang w:val="en-US" w:eastAsia="zh-CN" w:bidi="ar-SA"/>
        </w:rPr>
        <w:t>]]</w:t>
      </w:r>
      <w:r>
        <w:rPr>
          <w:rFonts w:hint="eastAsia" w:ascii="仿宋" w:hAnsi="仿宋" w:eastAsia="仿宋" w:cs="仿宋"/>
          <w:bCs/>
          <w:kern w:val="2"/>
          <w:sz w:val="32"/>
          <w:szCs w:val="32"/>
          <w:highlight w:val="none"/>
          <w:lang w:val="en-US" w:eastAsia="zh-CN" w:bidi="ar-SA"/>
        </w:rPr>
        <w:t>，</w:t>
      </w:r>
      <w:r>
        <w:rPr>
          <w:rFonts w:hint="eastAsia" w:ascii="仿宋" w:hAnsi="仿宋" w:eastAsia="仿宋" w:cs="仿宋"/>
          <w:bCs/>
          <w:color w:val="000000"/>
          <w:sz w:val="32"/>
          <w:szCs w:val="32"/>
          <w:lang w:eastAsia="zh-CN"/>
        </w:rPr>
        <w:t>建议</w:t>
      </w:r>
      <w:r>
        <w:rPr>
          <w:rFonts w:hint="eastAsia" w:ascii="仿宋" w:hAnsi="仿宋" w:eastAsia="仿宋" w:cs="仿宋"/>
          <w:color w:val="000000"/>
          <w:sz w:val="32"/>
          <w:szCs w:val="32"/>
          <w:lang w:val="en-US" w:eastAsia="zh-CN"/>
        </w:rPr>
        <w:t>由市应急局</w:t>
      </w:r>
      <w:r>
        <w:rPr>
          <w:rFonts w:hint="eastAsia" w:ascii="仿宋" w:hAnsi="仿宋" w:eastAsia="仿宋" w:cs="仿宋"/>
          <w:bCs/>
          <w:color w:val="000000"/>
          <w:sz w:val="32"/>
          <w:szCs w:val="32"/>
          <w:lang w:eastAsia="zh-CN"/>
        </w:rPr>
        <w:t>对该单位给予行政处罚。</w:t>
      </w:r>
    </w:p>
    <w:p w14:paraId="488C0ED6">
      <w:pPr>
        <w:keepNext w:val="0"/>
        <w:keepLines w:val="0"/>
        <w:pageBreakBefore w:val="0"/>
        <w:widowControl w:val="0"/>
        <w:kinsoku/>
        <w:wordWrap/>
        <w:overflowPunct/>
        <w:topLinePunct w:val="0"/>
        <w:autoSpaceDE/>
        <w:autoSpaceDN/>
        <w:bidi w:val="0"/>
        <w:adjustRightInd/>
        <w:spacing w:line="560" w:lineRule="exact"/>
        <w:ind w:firstLine="643" w:firstLineChars="0"/>
        <w:textAlignment w:val="auto"/>
        <w:outlineLvl w:val="1"/>
        <w:rPr>
          <w:rFonts w:hint="eastAsia" w:ascii="楷体_GB2312" w:hAnsi="楷体_GB2312" w:eastAsia="楷体_GB2312" w:cs="楷体_GB2312"/>
          <w:b/>
          <w:bCs w:val="0"/>
          <w:color w:val="000000"/>
          <w:sz w:val="32"/>
          <w:szCs w:val="32"/>
          <w:lang w:val="zh-CN" w:eastAsia="zh-CN"/>
        </w:rPr>
      </w:pPr>
      <w:r>
        <w:rPr>
          <w:rFonts w:hint="eastAsia" w:ascii="楷体_GB2312" w:hAnsi="楷体_GB2312" w:eastAsia="楷体_GB2312" w:cs="楷体_GB2312"/>
          <w:b/>
          <w:bCs w:val="0"/>
          <w:color w:val="000000"/>
          <w:sz w:val="32"/>
          <w:szCs w:val="32"/>
          <w:lang w:eastAsia="zh-CN"/>
        </w:rPr>
        <w:t>（</w:t>
      </w:r>
      <w:r>
        <w:rPr>
          <w:rFonts w:hint="eastAsia" w:ascii="楷体_GB2312" w:hAnsi="楷体_GB2312" w:eastAsia="楷体_GB2312" w:cs="楷体_GB2312"/>
          <w:b/>
          <w:bCs w:val="0"/>
          <w:color w:val="000000"/>
          <w:sz w:val="32"/>
          <w:szCs w:val="32"/>
          <w:lang w:val="en-US" w:eastAsia="zh-CN"/>
        </w:rPr>
        <w:t>三</w:t>
      </w:r>
      <w:r>
        <w:rPr>
          <w:rFonts w:hint="eastAsia" w:ascii="楷体_GB2312" w:hAnsi="楷体_GB2312" w:eastAsia="楷体_GB2312" w:cs="楷体_GB2312"/>
          <w:b/>
          <w:bCs w:val="0"/>
          <w:color w:val="000000"/>
          <w:sz w:val="32"/>
          <w:szCs w:val="32"/>
          <w:lang w:eastAsia="zh-CN"/>
        </w:rPr>
        <w:t>）有关单位的处理建议</w:t>
      </w:r>
    </w:p>
    <w:p w14:paraId="71A76C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sz w:val="32"/>
          <w:szCs w:val="32"/>
          <w:highlight w:val="none"/>
          <w:lang w:val="en-US" w:eastAsia="zh-CN"/>
        </w:rPr>
      </w:pPr>
      <w:r>
        <w:rPr>
          <w:rFonts w:hint="eastAsia" w:ascii="仿宋_GB2312" w:hAnsi="仿宋_GB2312" w:eastAsia="仿宋_GB2312" w:cs="仿宋_GB2312"/>
          <w:b w:val="0"/>
          <w:bCs w:val="0"/>
          <w:kern w:val="2"/>
          <w:sz w:val="32"/>
          <w:szCs w:val="32"/>
          <w:highlight w:val="none"/>
          <w:lang w:val="en-US" w:eastAsia="zh-CN" w:bidi="ar-SA"/>
        </w:rPr>
        <w:t>1.二十二冶集团金结公司，</w:t>
      </w:r>
      <w:r>
        <w:rPr>
          <w:rFonts w:hint="eastAsia" w:ascii="仿宋_GB2312" w:hAnsi="仿宋_GB2312" w:eastAsia="仿宋_GB2312" w:cs="仿宋_GB2312"/>
          <w:b w:val="0"/>
          <w:bCs w:val="0"/>
          <w:sz w:val="32"/>
          <w:szCs w:val="32"/>
          <w:highlight w:val="none"/>
          <w:lang w:val="en-US" w:eastAsia="zh-CN"/>
        </w:rPr>
        <w:t>对四川共创公司安全生产统一协调管理不到位，对工程项目收尾阶段专业分包单位项目经理等管理人员未在岗履职监督管理不到位，对施工现场环境要求标准低、管理松散、安全检查不严格，</w:t>
      </w:r>
      <w:r>
        <w:rPr>
          <w:rFonts w:hint="eastAsia" w:ascii="仿宋" w:hAnsi="仿宋" w:eastAsia="仿宋" w:cs="仿宋"/>
          <w:bCs/>
          <w:color w:val="000000"/>
          <w:sz w:val="32"/>
          <w:szCs w:val="32"/>
          <w:lang w:val="en-US" w:eastAsia="zh-CN"/>
        </w:rPr>
        <w:t>违反了《中华人民共和国安全生产法》第四十九条第二款，依据《中华人民共和国安全生产法》第一百零三条第二款、</w:t>
      </w:r>
      <w:r>
        <w:rPr>
          <w:rFonts w:hint="eastAsia" w:ascii="仿宋_GB2312" w:hAnsi="仿宋_GB2312" w:eastAsia="仿宋_GB2312" w:cs="仿宋_GB2312"/>
          <w:b w:val="0"/>
          <w:bCs w:val="0"/>
          <w:sz w:val="32"/>
          <w:szCs w:val="32"/>
          <w:highlight w:val="none"/>
          <w:lang w:val="en-US" w:eastAsia="zh-CN"/>
        </w:rPr>
        <w:t>《应急管理行政处罚裁量权基准》裁量细则第58项B档</w:t>
      </w:r>
      <w:r>
        <w:rPr>
          <w:rFonts w:hint="eastAsia" w:ascii="仿宋" w:hAnsi="仿宋" w:eastAsia="仿宋" w:cs="仿宋"/>
          <w:bCs/>
          <w:color w:val="000000"/>
          <w:sz w:val="32"/>
          <w:szCs w:val="32"/>
          <w:lang w:val="en-US" w:eastAsia="zh-CN"/>
        </w:rPr>
        <w:t>，</w:t>
      </w:r>
      <w:r>
        <w:rPr>
          <w:rFonts w:hint="eastAsia" w:ascii="仿宋" w:hAnsi="仿宋" w:eastAsia="仿宋" w:cs="仿宋"/>
          <w:bCs/>
          <w:color w:val="auto"/>
          <w:sz w:val="32"/>
          <w:szCs w:val="32"/>
          <w:lang w:val="en-US" w:eastAsia="zh-CN"/>
        </w:rPr>
        <w:t>建议</w:t>
      </w:r>
      <w:r>
        <w:rPr>
          <w:rFonts w:hint="eastAsia" w:ascii="仿宋" w:hAnsi="仿宋" w:eastAsia="仿宋" w:cs="仿宋"/>
          <w:color w:val="auto"/>
          <w:sz w:val="32"/>
          <w:szCs w:val="32"/>
          <w:lang w:val="en-US" w:eastAsia="zh-CN"/>
        </w:rPr>
        <w:t>由市应</w:t>
      </w:r>
      <w:r>
        <w:rPr>
          <w:rFonts w:hint="eastAsia" w:ascii="仿宋" w:hAnsi="仿宋" w:eastAsia="仿宋" w:cs="仿宋"/>
          <w:color w:val="000000"/>
          <w:sz w:val="32"/>
          <w:szCs w:val="32"/>
          <w:lang w:val="en-US" w:eastAsia="zh-CN"/>
        </w:rPr>
        <w:t>急局</w:t>
      </w:r>
      <w:r>
        <w:rPr>
          <w:rFonts w:hint="eastAsia" w:ascii="仿宋" w:hAnsi="仿宋" w:eastAsia="仿宋" w:cs="仿宋"/>
          <w:bCs/>
          <w:color w:val="000000"/>
          <w:sz w:val="32"/>
          <w:szCs w:val="32"/>
          <w:lang w:val="en-US" w:eastAsia="zh-CN"/>
        </w:rPr>
        <w:t>责令限期改正、对该单位给予行政处</w:t>
      </w:r>
      <w:r>
        <w:rPr>
          <w:rFonts w:hint="eastAsia" w:ascii="仿宋" w:hAnsi="仿宋" w:eastAsia="仿宋" w:cs="仿宋"/>
          <w:b w:val="0"/>
          <w:bCs/>
          <w:color w:val="000000"/>
          <w:sz w:val="32"/>
          <w:szCs w:val="32"/>
          <w:lang w:val="en-US" w:eastAsia="zh-CN"/>
        </w:rPr>
        <w:t>罚。</w:t>
      </w:r>
    </w:p>
    <w:bookmarkEnd w:id="0"/>
    <w:p w14:paraId="6C1611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kern w:val="2"/>
          <w:sz w:val="32"/>
          <w:szCs w:val="32"/>
          <w:highlight w:val="none"/>
          <w:lang w:val="en-US" w:eastAsia="zh-CN" w:bidi="ar-SA"/>
        </w:rPr>
        <w:t>2.中冶北方大连公司，</w:t>
      </w:r>
      <w:r>
        <w:rPr>
          <w:rFonts w:hint="eastAsia" w:ascii="仿宋_GB2312" w:hAnsi="仿宋_GB2312" w:eastAsia="仿宋_GB2312" w:cs="仿宋_GB2312"/>
          <w:b w:val="0"/>
          <w:bCs/>
          <w:sz w:val="32"/>
          <w:szCs w:val="32"/>
          <w:highlight w:val="none"/>
          <w:lang w:val="en-US" w:eastAsia="zh-CN"/>
        </w:rPr>
        <w:t>对二十</w:t>
      </w:r>
      <w:r>
        <w:rPr>
          <w:rFonts w:hint="eastAsia" w:ascii="仿宋_GB2312" w:hAnsi="仿宋_GB2312" w:eastAsia="仿宋_GB2312" w:cs="仿宋_GB2312"/>
          <w:b w:val="0"/>
          <w:bCs w:val="0"/>
          <w:sz w:val="32"/>
          <w:szCs w:val="32"/>
          <w:highlight w:val="none"/>
          <w:lang w:val="en-US" w:eastAsia="zh-CN"/>
        </w:rPr>
        <w:t>二冶集团金结公司、四川共创公司安全监理不到位，对专业分包单位项目部项目经理等管理人员未在现场履职监理不到位，对施工现场安全条件差检查及督促整改不到位</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kern w:val="2"/>
          <w:sz w:val="32"/>
          <w:szCs w:val="32"/>
          <w:highlight w:val="none"/>
          <w:lang w:val="en-US" w:eastAsia="zh-CN" w:bidi="ar-SA"/>
        </w:rPr>
        <w:t>建议由市住建局依法处理。</w:t>
      </w:r>
    </w:p>
    <w:p w14:paraId="4D83B1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3.</w:t>
      </w:r>
      <w:r>
        <w:rPr>
          <w:rFonts w:hint="eastAsia" w:ascii="仿宋_GB2312" w:hAnsi="仿宋_GB2312" w:eastAsia="仿宋_GB2312" w:cs="仿宋_GB2312"/>
          <w:b w:val="0"/>
          <w:bCs w:val="0"/>
          <w:kern w:val="2"/>
          <w:sz w:val="32"/>
          <w:szCs w:val="32"/>
          <w:highlight w:val="none"/>
          <w:lang w:val="en-US" w:eastAsia="zh-CN" w:bidi="ar-SA"/>
        </w:rPr>
        <w:t>抚顺新钢铁公司，</w:t>
      </w:r>
      <w:r>
        <w:rPr>
          <w:rFonts w:hint="eastAsia" w:ascii="仿宋_GB2312" w:hAnsi="仿宋_GB2312" w:eastAsia="仿宋_GB2312" w:cs="仿宋_GB2312"/>
          <w:b w:val="0"/>
          <w:bCs w:val="0"/>
          <w:sz w:val="32"/>
          <w:szCs w:val="32"/>
          <w:highlight w:val="none"/>
          <w:lang w:val="en-US" w:eastAsia="zh-CN"/>
        </w:rPr>
        <w:t>对二十二冶集团金结公司、四川共创公司安全生产统一协调管理不到位，未有效落实</w:t>
      </w:r>
      <w:r>
        <w:rPr>
          <w:rFonts w:hint="eastAsia" w:ascii="仿宋_GB2312" w:hAnsi="仿宋_GB2312" w:eastAsia="仿宋_GB2312" w:cs="仿宋_GB2312"/>
          <w:color w:val="auto"/>
          <w:sz w:val="32"/>
          <w:szCs w:val="32"/>
          <w:lang w:val="en-US" w:eastAsia="zh-CN"/>
        </w:rPr>
        <w:t>《安全文明施工协议书》要求</w:t>
      </w:r>
      <w:r>
        <w:rPr>
          <w:rFonts w:hint="eastAsia" w:ascii="仿宋_GB2312" w:hAnsi="仿宋_GB2312" w:eastAsia="仿宋_GB2312" w:cs="仿宋_GB2312"/>
          <w:b w:val="0"/>
          <w:bCs w:val="0"/>
          <w:sz w:val="32"/>
          <w:szCs w:val="32"/>
          <w:highlight w:val="none"/>
          <w:lang w:val="en-US" w:eastAsia="zh-CN"/>
        </w:rPr>
        <w:t>，对施工现场安全条件差检查及督促整改不到位，</w:t>
      </w:r>
      <w:r>
        <w:rPr>
          <w:rFonts w:hint="eastAsia" w:ascii="仿宋" w:hAnsi="仿宋" w:eastAsia="仿宋" w:cs="仿宋"/>
          <w:bCs/>
          <w:color w:val="000000"/>
          <w:sz w:val="32"/>
          <w:szCs w:val="32"/>
          <w:lang w:val="en-US" w:eastAsia="zh-CN"/>
        </w:rPr>
        <w:t>违反了《中华人民共和国安全生产法》第四十九条第二款，依据《中华人民共和国安全生产法》第一百零三条第二款、</w:t>
      </w:r>
      <w:r>
        <w:rPr>
          <w:rFonts w:hint="eastAsia" w:ascii="仿宋_GB2312" w:hAnsi="仿宋_GB2312" w:eastAsia="仿宋_GB2312" w:cs="仿宋_GB2312"/>
          <w:b w:val="0"/>
          <w:bCs w:val="0"/>
          <w:sz w:val="32"/>
          <w:szCs w:val="32"/>
          <w:highlight w:val="none"/>
          <w:lang w:val="en-US" w:eastAsia="zh-CN"/>
        </w:rPr>
        <w:t>《应急管理行政处罚裁量权基准》裁量细则第58项B档</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 w:hAnsi="仿宋" w:eastAsia="仿宋" w:cs="仿宋"/>
          <w:bCs/>
          <w:color w:val="auto"/>
          <w:sz w:val="32"/>
          <w:szCs w:val="32"/>
          <w:lang w:val="en-US" w:eastAsia="zh-CN"/>
        </w:rPr>
        <w:t>建议</w:t>
      </w:r>
      <w:r>
        <w:rPr>
          <w:rFonts w:hint="eastAsia" w:ascii="仿宋" w:hAnsi="仿宋" w:eastAsia="仿宋" w:cs="仿宋"/>
          <w:color w:val="auto"/>
          <w:sz w:val="32"/>
          <w:szCs w:val="32"/>
          <w:lang w:val="en-US" w:eastAsia="zh-CN"/>
        </w:rPr>
        <w:t>由市应</w:t>
      </w:r>
      <w:r>
        <w:rPr>
          <w:rFonts w:hint="eastAsia" w:ascii="仿宋" w:hAnsi="仿宋" w:eastAsia="仿宋" w:cs="仿宋"/>
          <w:color w:val="000000"/>
          <w:sz w:val="32"/>
          <w:szCs w:val="32"/>
          <w:lang w:val="en-US" w:eastAsia="zh-CN"/>
        </w:rPr>
        <w:t>急局</w:t>
      </w:r>
      <w:r>
        <w:rPr>
          <w:rFonts w:hint="eastAsia" w:ascii="仿宋" w:hAnsi="仿宋" w:eastAsia="仿宋" w:cs="仿宋"/>
          <w:bCs/>
          <w:color w:val="000000"/>
          <w:sz w:val="32"/>
          <w:szCs w:val="32"/>
          <w:lang w:val="en-US" w:eastAsia="zh-CN"/>
        </w:rPr>
        <w:t>责令限期改正、对该单位给予行政处</w:t>
      </w:r>
      <w:r>
        <w:rPr>
          <w:rFonts w:hint="eastAsia" w:ascii="仿宋" w:hAnsi="仿宋" w:eastAsia="仿宋" w:cs="仿宋"/>
          <w:b w:val="0"/>
          <w:bCs/>
          <w:color w:val="000000"/>
          <w:sz w:val="32"/>
          <w:szCs w:val="32"/>
          <w:lang w:val="en-US" w:eastAsia="zh-CN"/>
        </w:rPr>
        <w:t>罚。</w:t>
      </w:r>
      <w:bookmarkStart w:id="2" w:name="_GoBack"/>
      <w:bookmarkEnd w:id="2"/>
    </w:p>
    <w:p w14:paraId="265F6C3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0"/>
        <w:rPr>
          <w:rFonts w:hint="default" w:ascii="仿宋" w:hAnsi="仿宋" w:eastAsia="仿宋" w:cs="仿宋"/>
          <w:bCs/>
          <w:sz w:val="32"/>
          <w:szCs w:val="32"/>
          <w:highlight w:val="none"/>
          <w:lang w:val="en-US" w:eastAsia="zh-CN"/>
        </w:rPr>
      </w:pPr>
      <w:r>
        <w:rPr>
          <w:rFonts w:hint="eastAsia" w:ascii="黑体" w:hAnsi="黑体" w:eastAsia="黑体" w:cs="黑体"/>
          <w:sz w:val="32"/>
          <w:szCs w:val="32"/>
          <w:shd w:val="clear" w:color="auto" w:fill="FFFFFF"/>
        </w:rPr>
        <w:t>六、事故</w:t>
      </w:r>
      <w:r>
        <w:rPr>
          <w:rFonts w:hint="eastAsia" w:ascii="黑体" w:hAnsi="黑体" w:eastAsia="黑体" w:cs="黑体"/>
          <w:sz w:val="32"/>
          <w:szCs w:val="32"/>
          <w:shd w:val="clear" w:color="auto" w:fill="FFFFFF"/>
          <w:lang w:eastAsia="zh-CN"/>
        </w:rPr>
        <w:t>整改及</w:t>
      </w:r>
      <w:r>
        <w:rPr>
          <w:rFonts w:hint="eastAsia" w:ascii="黑体" w:hAnsi="黑体" w:eastAsia="黑体" w:cs="黑体"/>
          <w:sz w:val="32"/>
          <w:szCs w:val="32"/>
          <w:shd w:val="clear" w:color="auto" w:fill="FFFFFF"/>
        </w:rPr>
        <w:t>防范措施</w:t>
      </w:r>
    </w:p>
    <w:p w14:paraId="153C1E0C">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default" w:ascii="楷体_GB2312" w:hAnsi="楷体_GB2312" w:eastAsia="楷体_GB2312" w:cs="楷体_GB2312"/>
          <w:b/>
          <w:bCs w:val="0"/>
          <w:color w:val="000000"/>
          <w:sz w:val="32"/>
          <w:szCs w:val="32"/>
          <w:lang w:val="en-US" w:eastAsia="zh-CN"/>
        </w:rPr>
      </w:pPr>
      <w:r>
        <w:rPr>
          <w:rFonts w:hint="eastAsia" w:ascii="楷体_GB2312" w:hAnsi="楷体_GB2312" w:eastAsia="楷体_GB2312" w:cs="楷体_GB2312"/>
          <w:b/>
          <w:bCs w:val="0"/>
          <w:color w:val="000000"/>
          <w:sz w:val="32"/>
          <w:szCs w:val="32"/>
          <w:lang w:val="en-US" w:eastAsia="zh-CN"/>
        </w:rPr>
        <w:t>（一）四川共创公司</w:t>
      </w:r>
    </w:p>
    <w:p w14:paraId="4849C540">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color w:val="auto"/>
          <w:sz w:val="32"/>
          <w:szCs w:val="32"/>
          <w:lang w:val="en-US" w:eastAsia="zh-CN"/>
        </w:rPr>
        <w:t>一是要严格</w:t>
      </w:r>
      <w:r>
        <w:rPr>
          <w:rFonts w:hint="eastAsia" w:ascii="仿宋_GB2312" w:hAnsi="仿宋_GB2312" w:eastAsia="仿宋_GB2312" w:cs="仿宋_GB2312"/>
          <w:b w:val="0"/>
          <w:bCs w:val="0"/>
          <w:sz w:val="32"/>
          <w:szCs w:val="32"/>
          <w:lang w:val="en-US" w:eastAsia="zh-CN"/>
        </w:rPr>
        <w:t>落实安全生产主体责任，</w:t>
      </w:r>
      <w:r>
        <w:rPr>
          <w:rFonts w:hint="eastAsia" w:ascii="仿宋_GB2312" w:hAnsi="仿宋_GB2312" w:eastAsia="仿宋_GB2312" w:cs="仿宋_GB2312"/>
          <w:b w:val="0"/>
          <w:bCs w:val="0"/>
          <w:kern w:val="2"/>
          <w:sz w:val="32"/>
          <w:szCs w:val="32"/>
          <w:lang w:val="en-US" w:eastAsia="zh-CN" w:bidi="ar-SA"/>
        </w:rPr>
        <w:t>严格执行《专项施工方案》，对拆卸材料做到 “随拆随运、分类堆放、当天拆当天清”，</w:t>
      </w:r>
      <w:r>
        <w:rPr>
          <w:rFonts w:hint="eastAsia" w:ascii="仿宋_GB2312" w:hAnsi="仿宋_GB2312" w:eastAsia="仿宋_GB2312" w:cs="仿宋_GB2312"/>
          <w:b w:val="0"/>
          <w:bCs/>
          <w:color w:val="auto"/>
          <w:sz w:val="32"/>
          <w:szCs w:val="32"/>
          <w:lang w:val="en-US" w:eastAsia="zh-CN"/>
        </w:rPr>
        <w:t>规范现场环境管理，强化安全风险管控与隐患排查治理。二是要</w:t>
      </w:r>
      <w:r>
        <w:rPr>
          <w:rFonts w:hint="eastAsia" w:ascii="仿宋_GB2312" w:hAnsi="仿宋_GB2312" w:eastAsia="仿宋_GB2312" w:cs="仿宋_GB2312"/>
          <w:b w:val="0"/>
          <w:bCs w:val="0"/>
          <w:kern w:val="2"/>
          <w:sz w:val="32"/>
          <w:szCs w:val="32"/>
          <w:lang w:val="en-US" w:eastAsia="zh-CN" w:bidi="ar-SA"/>
        </w:rPr>
        <w:t>强化收尾阶段安全管理，高度重视工程项目收尾阶段安全生产工作，加密安全检查频次，提升作业人员安全意识，杜绝“重进度、轻安全”现象，确保现场管理规范有序。</w:t>
      </w:r>
      <w:r>
        <w:rPr>
          <w:rFonts w:hint="eastAsia" w:ascii="仿宋_GB2312" w:hAnsi="仿宋_GB2312" w:eastAsia="仿宋_GB2312" w:cs="仿宋_GB2312"/>
          <w:b w:val="0"/>
          <w:bCs w:val="0"/>
          <w:sz w:val="32"/>
          <w:szCs w:val="32"/>
          <w:lang w:val="en-US" w:eastAsia="zh-CN"/>
        </w:rPr>
        <w:t>三是要健全项目管理体系，严格执行项目经理、总工程师等到岗履职制度，全面提升项目安全管理水平。</w:t>
      </w:r>
    </w:p>
    <w:p w14:paraId="1E585EF9">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楷体_GB2312" w:hAnsi="楷体_GB2312" w:eastAsia="楷体_GB2312" w:cs="楷体_GB2312"/>
          <w:b/>
          <w:bCs w:val="0"/>
          <w:color w:val="000000"/>
          <w:sz w:val="32"/>
          <w:szCs w:val="32"/>
          <w:lang w:val="en-US" w:eastAsia="zh-CN"/>
        </w:rPr>
      </w:pPr>
      <w:r>
        <w:rPr>
          <w:rFonts w:hint="eastAsia" w:ascii="楷体_GB2312" w:hAnsi="楷体_GB2312" w:eastAsia="楷体_GB2312" w:cs="楷体_GB2312"/>
          <w:b/>
          <w:bCs w:val="0"/>
          <w:color w:val="000000"/>
          <w:sz w:val="32"/>
          <w:szCs w:val="32"/>
          <w:lang w:val="en-US" w:eastAsia="zh-CN"/>
        </w:rPr>
        <w:t>（二）二十二冶集团金结公司</w:t>
      </w:r>
    </w:p>
    <w:p w14:paraId="5A7B180B">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要强化对分包单位的安全生产统一协调管理，将收尾阶段安全管控纳入管理重点。严格执行管理人员到岗履职制度，对项目经理等关键岗位严格考勤、检查，杜绝脱岗、顶岗。同时提高现场管理标准，严查环境混乱、物料堆放不规范等问题，提高本质安全程度。</w:t>
      </w:r>
    </w:p>
    <w:p w14:paraId="0BBFC01C">
      <w:pPr>
        <w:keepNext w:val="0"/>
        <w:keepLines w:val="0"/>
        <w:pageBreakBefore w:val="0"/>
        <w:widowControl w:val="0"/>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bCs w:val="0"/>
          <w:color w:val="000000"/>
          <w:kern w:val="2"/>
          <w:sz w:val="32"/>
          <w:szCs w:val="32"/>
          <w:lang w:val="en-US" w:eastAsia="zh-CN" w:bidi="ar-SA"/>
        </w:rPr>
      </w:pPr>
      <w:r>
        <w:rPr>
          <w:rFonts w:hint="eastAsia" w:ascii="楷体_GB2312" w:hAnsi="楷体_GB2312" w:eastAsia="楷体_GB2312" w:cs="楷体_GB2312"/>
          <w:b/>
          <w:bCs w:val="0"/>
          <w:color w:val="000000"/>
          <w:kern w:val="2"/>
          <w:sz w:val="32"/>
          <w:szCs w:val="32"/>
          <w:lang w:val="en-US" w:eastAsia="zh-CN" w:bidi="ar-SA"/>
        </w:rPr>
        <w:t>（三）中冶北方大连公司</w:t>
      </w:r>
    </w:p>
    <w:p w14:paraId="05B3367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b w:val="0"/>
          <w:bCs/>
          <w:color w:val="auto"/>
          <w:kern w:val="2"/>
          <w:sz w:val="32"/>
          <w:szCs w:val="32"/>
          <w:lang w:val="en-US" w:eastAsia="zh-CN" w:bidi="ar-SA"/>
        </w:rPr>
      </w:pPr>
      <w:r>
        <w:rPr>
          <w:rFonts w:hint="eastAsia" w:ascii="仿宋_GB2312" w:hAnsi="仿宋_GB2312" w:eastAsia="仿宋_GB2312" w:cs="仿宋_GB2312"/>
          <w:b w:val="0"/>
          <w:bCs/>
          <w:color w:val="auto"/>
          <w:kern w:val="2"/>
          <w:sz w:val="32"/>
          <w:szCs w:val="32"/>
          <w:lang w:val="en-US" w:eastAsia="zh-CN" w:bidi="ar-SA"/>
        </w:rPr>
        <w:t>要严格履行监理职责，加强对总包及分包单位管理人员到岗履职的监督检查。加大现场巡查力度，对安全条件差等问题要及时下达整改指令，并确保整改到位。</w:t>
      </w:r>
    </w:p>
    <w:p w14:paraId="2E491039">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楷体_GB2312" w:hAnsi="楷体_GB2312" w:eastAsia="楷体_GB2312" w:cs="楷体_GB2312"/>
          <w:b/>
          <w:bCs w:val="0"/>
          <w:color w:val="000000"/>
          <w:sz w:val="32"/>
          <w:szCs w:val="32"/>
          <w:lang w:val="en-US" w:eastAsia="zh-CN"/>
        </w:rPr>
      </w:pPr>
      <w:r>
        <w:rPr>
          <w:rFonts w:hint="eastAsia" w:ascii="楷体_GB2312" w:hAnsi="楷体_GB2312" w:eastAsia="楷体_GB2312" w:cs="楷体_GB2312"/>
          <w:b/>
          <w:bCs w:val="0"/>
          <w:color w:val="000000"/>
          <w:sz w:val="32"/>
          <w:szCs w:val="32"/>
          <w:lang w:val="en-US" w:eastAsia="zh-CN"/>
        </w:rPr>
        <w:t>（四）抚顺新钢铁公司</w:t>
      </w:r>
    </w:p>
    <w:p w14:paraId="5FD78737">
      <w:pPr>
        <w:keepNext w:val="0"/>
        <w:keepLines w:val="0"/>
        <w:pageBreakBefore w:val="0"/>
        <w:widowControl w:val="0"/>
        <w:kinsoku/>
        <w:wordWrap/>
        <w:overflowPunct/>
        <w:topLinePunct w:val="0"/>
        <w:autoSpaceDE/>
        <w:autoSpaceDN/>
        <w:bidi w:val="0"/>
        <w:adjustRightInd/>
        <w:spacing w:line="560" w:lineRule="exact"/>
        <w:ind w:firstLine="640" w:firstLineChars="200"/>
        <w:jc w:val="both"/>
        <w:textAlignment w:val="auto"/>
        <w:rPr>
          <w:rFonts w:hint="eastAsia" w:ascii="仿宋_GB2312" w:hAnsi="仿宋_GB2312" w:eastAsia="仿宋_GB2312" w:cs="仿宋_GB2312"/>
          <w:b w:val="0"/>
          <w:bCs/>
          <w:color w:val="auto"/>
          <w:kern w:val="2"/>
          <w:sz w:val="32"/>
          <w:szCs w:val="32"/>
          <w:lang w:val="en-US" w:eastAsia="zh-CN" w:bidi="ar-SA"/>
        </w:rPr>
      </w:pPr>
      <w:r>
        <w:rPr>
          <w:rFonts w:hint="eastAsia" w:ascii="仿宋_GB2312" w:hAnsi="仿宋_GB2312" w:eastAsia="仿宋_GB2312" w:cs="仿宋_GB2312"/>
          <w:b w:val="0"/>
          <w:bCs/>
          <w:color w:val="auto"/>
          <w:kern w:val="2"/>
          <w:sz w:val="32"/>
          <w:szCs w:val="32"/>
          <w:lang w:val="en-US" w:eastAsia="zh-CN" w:bidi="ar-SA"/>
        </w:rPr>
        <w:t>要强化对总包及分包单位的安全生产统一协调管理，压实安全生产责任，落实好安全管理协议要求，对项目经理等关键岗位严格考勤、检查，加大对施工现场安全条件检查的力度，充分发挥监理作用，确保安全生产形势稳定。</w:t>
      </w:r>
    </w:p>
    <w:p w14:paraId="4170BF94">
      <w:pPr>
        <w:pStyle w:val="2"/>
        <w:keepNext w:val="0"/>
        <w:keepLines w:val="0"/>
        <w:pageBreakBefore w:val="0"/>
        <w:widowControl w:val="0"/>
        <w:kinsoku/>
        <w:wordWrap/>
        <w:overflowPunct/>
        <w:topLinePunct w:val="0"/>
        <w:autoSpaceDE/>
        <w:autoSpaceDN/>
        <w:bidi w:val="0"/>
        <w:adjustRightInd/>
        <w:spacing w:line="240" w:lineRule="auto"/>
        <w:textAlignment w:val="auto"/>
        <w:outlineLvl w:val="9"/>
        <w:rPr>
          <w:rFonts w:hint="eastAsia" w:ascii="仿宋" w:hAnsi="仿宋" w:eastAsia="仿宋" w:cs="仿宋"/>
          <w:kern w:val="1"/>
          <w:sz w:val="32"/>
          <w:szCs w:val="32"/>
          <w:lang w:val="en-US" w:eastAsia="zh-CN"/>
        </w:rPr>
      </w:pPr>
    </w:p>
    <w:p w14:paraId="5CE2F6BB">
      <w:pPr>
        <w:pStyle w:val="2"/>
        <w:keepNext w:val="0"/>
        <w:keepLines w:val="0"/>
        <w:pageBreakBefore w:val="0"/>
        <w:widowControl w:val="0"/>
        <w:kinsoku/>
        <w:wordWrap/>
        <w:overflowPunct/>
        <w:topLinePunct w:val="0"/>
        <w:autoSpaceDE/>
        <w:autoSpaceDN/>
        <w:bidi w:val="0"/>
        <w:adjustRightInd/>
        <w:spacing w:line="560" w:lineRule="exact"/>
        <w:textAlignment w:val="auto"/>
        <w:outlineLvl w:val="9"/>
        <w:rPr>
          <w:rFonts w:hint="eastAsia" w:ascii="仿宋" w:hAnsi="仿宋" w:eastAsia="仿宋" w:cs="仿宋"/>
          <w:kern w:val="1"/>
          <w:sz w:val="32"/>
          <w:szCs w:val="32"/>
          <w:lang w:val="en-US" w:eastAsia="zh-CN"/>
        </w:rPr>
      </w:pPr>
    </w:p>
    <w:p w14:paraId="6F51FF3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lang w:val="en-US" w:eastAsia="zh-CN"/>
        </w:rPr>
      </w:pPr>
      <w:bookmarkStart w:id="1" w:name="_Toc1207941915_WPSOffice_Level1"/>
      <w:r>
        <w:rPr>
          <w:rFonts w:hint="eastAsia" w:ascii="仿宋" w:hAnsi="仿宋" w:eastAsia="仿宋" w:cs="仿宋"/>
          <w:kern w:val="1"/>
          <w:sz w:val="32"/>
          <w:szCs w:val="32"/>
          <w:lang w:val="en-US" w:eastAsia="zh-CN"/>
        </w:rPr>
        <w:t xml:space="preserve">         </w:t>
      </w:r>
      <w:bookmarkEnd w:id="1"/>
    </w:p>
    <w:sectPr>
      <w:footerReference r:id="rId4"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2207A">
    <w:pPr>
      <w:pStyle w:val="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355F8D">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- 13 -</w:t>
                          </w:r>
                          <w:r>
                            <w:rPr>
                              <w:rFonts w:hint="eastAsi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xZIm8sBAACcAwAADgAAAGRycy9lMm9Eb2MueG1srVPNjtMwEL4j8Q6W&#10;79RpJVCJ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2J4xYHfvn+7fLj1+XnV7Ks&#10;Vi9zh/oANSbeBUxNw1s/4N7MfkBnFj6oaPMXJRGMY3/P1/7KIRGRH61X63WFIYGx+YL47OF5iJDe&#10;SW9JNhoacYClr/z0AdKYOqfkas7famPKEI37y4GY2cMy95FjttKwHyZBe9+eUU+Ps2+ow1WnxLx3&#10;2Nq8JrMRZ2M/G8cQ9aFDasvCC8KbY0IShVuuMMJOhXFoRd20YHkr/ryXrI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CsWSJvLAQAAnAMAAA4AAAAAAAAAAQAgAAAAHgEAAGRycy9lMm9E&#10;b2MueG1sUEsFBgAAAAAGAAYAWQEAAFsFAAAAAA==&#10;">
              <v:fill on="f" focussize="0,0"/>
              <v:stroke on="f"/>
              <v:imagedata o:title=""/>
              <o:lock v:ext="edit" aspectratio="f"/>
              <v:textbox inset="0mm,0mm,0mm,0mm" style="mso-fit-shape-to-text:t;">
                <w:txbxContent>
                  <w:p w14:paraId="78355F8D">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- 13 -</w:t>
                    </w:r>
                    <w:r>
                      <w:rPr>
                        <w:rFonts w:hint="eastAsia"/>
                      </w:rPr>
                      <w:fldChar w:fldCharType="end"/>
                    </w:r>
                  </w:p>
                </w:txbxContent>
              </v:textbox>
            </v:shape>
          </w:pict>
        </mc:Fallback>
      </mc:AlternateContent>
    </w:r>
  </w:p>
  <w:p w14:paraId="6A7CF13C">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6">
    <w:p>
      <w:r>
        <w:separator/>
      </w:r>
    </w:p>
  </w:footnote>
  <w:footnote w:type="continuationSeparator" w:id="27">
    <w:p>
      <w:r>
        <w:continuationSeparator/>
      </w:r>
    </w:p>
  </w:footnote>
  <w:footnote w:id="0">
    <w:p w14:paraId="0D3BE4E2">
      <w:pPr>
        <w:pStyle w:val="9"/>
        <w:snapToGrid w:val="0"/>
        <w:rPr>
          <w:rStyle w:val="17"/>
          <w:rFonts w:hint="eastAsia" w:ascii="宋体" w:hAnsi="宋体" w:eastAsia="宋体" w:cs="宋体"/>
          <w:sz w:val="24"/>
          <w:szCs w:val="24"/>
          <w:vertAlign w:val="baseline"/>
          <w:lang w:val="en-US" w:eastAsia="zh-CN"/>
        </w:rPr>
      </w:pPr>
      <w:r>
        <w:rPr>
          <w:rStyle w:val="17"/>
          <w:rFonts w:hint="eastAsia" w:ascii="宋体" w:hAnsi="宋体" w:eastAsia="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footnoteRef/>
      </w:r>
      <w:r>
        <w:rPr>
          <w:rStyle w:val="17"/>
          <w:rFonts w:hint="eastAsia" w:ascii="宋体" w:hAnsi="宋体" w:eastAsia="宋体" w:cs="宋体"/>
          <w:sz w:val="24"/>
          <w:szCs w:val="24"/>
          <w:vertAlign w:val="baseline"/>
          <w:lang w:val="en-US" w:eastAsia="zh-CN"/>
        </w:rPr>
        <w:t>]《安全文明施工协议书》发包人责任：1</w:t>
      </w:r>
      <w:r>
        <w:rPr>
          <w:rFonts w:hint="eastAsia" w:ascii="宋体" w:hAnsi="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t>根据发包内容，审批承包人的施工组织设计（或施工方案），明确施工范围及现场环境管控措施，做好安全及文明施工交底确认。2</w:t>
      </w:r>
      <w:r>
        <w:rPr>
          <w:rFonts w:hint="eastAsia" w:ascii="宋体" w:hAnsi="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t>督促、协助施工单位办理好临设及各置场的临时手续审批。3</w:t>
      </w:r>
      <w:r>
        <w:rPr>
          <w:rFonts w:hint="eastAsia" w:ascii="宋体" w:hAnsi="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t>随时对施工现场安全文明施工进行监督、检查，并对承包人违反合同及本协议书的规定，安全违章、安全措施不到位、施工现场脏、乱、差等行为进行考核。4</w:t>
      </w:r>
      <w:r>
        <w:rPr>
          <w:rFonts w:hint="eastAsia" w:ascii="宋体" w:hAnsi="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t>在工程完工后，监督承包人及时清理现场闲置的临时设施、剩余材料和施工机具、施工现场残留的工程垃圾，为试生产创造良好的生产作业环境。</w:t>
      </w:r>
    </w:p>
  </w:footnote>
  <w:footnote w:id="1">
    <w:p w14:paraId="4E90FE9B">
      <w:pPr>
        <w:pStyle w:val="9"/>
        <w:snapToGrid w:val="0"/>
      </w:pPr>
      <w:r>
        <w:rPr>
          <w:rStyle w:val="17"/>
          <w:rFonts w:hint="eastAsia" w:ascii="宋体" w:hAnsi="宋体" w:eastAsia="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footnoteRef/>
      </w:r>
      <w:r>
        <w:rPr>
          <w:rStyle w:val="17"/>
          <w:rFonts w:hint="eastAsia" w:ascii="宋体" w:hAnsi="宋体" w:eastAsia="宋体" w:cs="宋体"/>
          <w:sz w:val="24"/>
          <w:szCs w:val="24"/>
          <w:vertAlign w:val="baseline"/>
          <w:lang w:val="en-US" w:eastAsia="zh-CN"/>
        </w:rPr>
        <w:t>]</w:t>
      </w:r>
      <w:r>
        <w:rPr>
          <w:rStyle w:val="17"/>
          <w:rFonts w:hint="eastAsia" w:ascii="宋体" w:hAnsi="宋体" w:eastAsia="宋体" w:cs="宋体"/>
          <w:sz w:val="24"/>
          <w:szCs w:val="24"/>
          <w:vertAlign w:val="baseline"/>
        </w:rPr>
        <w:t>《中华人民共和国安全生产法》</w:t>
      </w:r>
      <w:r>
        <w:rPr>
          <w:rStyle w:val="17"/>
          <w:rFonts w:hint="eastAsia" w:ascii="宋体" w:hAnsi="宋体" w:eastAsia="宋体" w:cs="宋体"/>
          <w:sz w:val="24"/>
          <w:szCs w:val="24"/>
          <w:vertAlign w:val="baseline"/>
          <w:lang w:val="en-US" w:eastAsia="zh-CN"/>
        </w:rPr>
        <w:t>第二十五条</w:t>
      </w:r>
      <w:r>
        <w:rPr>
          <w:rFonts w:hint="eastAsia" w:ascii="宋体" w:hAnsi="宋体" w:eastAsia="宋体" w:cs="宋体"/>
          <w:sz w:val="24"/>
          <w:szCs w:val="24"/>
          <w:vertAlign w:val="baseline"/>
          <w:lang w:val="en-US" w:eastAsia="zh-CN"/>
        </w:rPr>
        <w:t xml:space="preserve"> </w:t>
      </w:r>
      <w:r>
        <w:rPr>
          <w:rStyle w:val="17"/>
          <w:rFonts w:hint="eastAsia" w:ascii="宋体" w:hAnsi="宋体" w:eastAsia="宋体" w:cs="宋体"/>
          <w:sz w:val="24"/>
          <w:szCs w:val="24"/>
          <w:vertAlign w:val="baseline"/>
          <w:lang w:val="en-US" w:eastAsia="zh-CN"/>
        </w:rPr>
        <w:t>生产经营单位的安全生产管理机构以及安全生产管理人员履行下列职责</w:t>
      </w:r>
      <w:r>
        <w:rPr>
          <w:rFonts w:hint="eastAsia" w:ascii="宋体" w:hAnsi="宋体" w:eastAsia="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t>（五）检查本单位的安全生产状况，及时排查生产安全事故隐患，提出改进安全生产管理的建议；</w:t>
      </w:r>
    </w:p>
  </w:footnote>
  <w:footnote w:id="2">
    <w:p w14:paraId="7BFFD42C">
      <w:pPr>
        <w:pStyle w:val="9"/>
        <w:snapToGrid w:val="0"/>
        <w:rPr>
          <w:rFonts w:hint="eastAsia" w:eastAsia="宋体"/>
          <w:lang w:eastAsia="zh-CN"/>
        </w:rPr>
      </w:pPr>
      <w:r>
        <w:rPr>
          <w:rStyle w:val="17"/>
          <w:rFonts w:hint="eastAsia" w:ascii="宋体" w:hAnsi="宋体" w:eastAsia="宋体" w:cs="宋体"/>
          <w:sz w:val="24"/>
          <w:szCs w:val="24"/>
          <w:vertAlign w:val="baseline"/>
        </w:rPr>
        <w:t>[</w:t>
      </w:r>
      <w:r>
        <w:rPr>
          <w:rStyle w:val="17"/>
          <w:rFonts w:hint="eastAsia" w:ascii="宋体" w:hAnsi="宋体" w:eastAsia="宋体" w:cs="宋体"/>
          <w:sz w:val="24"/>
          <w:szCs w:val="24"/>
          <w:vertAlign w:val="baseline"/>
        </w:rPr>
        <w:footnoteRef/>
      </w:r>
      <w:r>
        <w:rPr>
          <w:rStyle w:val="17"/>
          <w:rFonts w:hint="eastAsia" w:ascii="宋体" w:hAnsi="宋体" w:eastAsia="宋体" w:cs="宋体"/>
          <w:sz w:val="24"/>
          <w:szCs w:val="24"/>
          <w:vertAlign w:val="baseline"/>
        </w:rPr>
        <w:t>]《中华人民共和国安全生产法》第九十六条</w:t>
      </w:r>
      <w:r>
        <w:rPr>
          <w:rFonts w:hint="eastAsia" w:ascii="宋体" w:hAnsi="宋体" w:eastAsia="宋体" w:cs="宋体"/>
          <w:sz w:val="24"/>
          <w:szCs w:val="24"/>
          <w:vertAlign w:val="baseline"/>
          <w:lang w:val="en-US" w:eastAsia="zh-CN"/>
        </w:rPr>
        <w:t xml:space="preserve"> </w:t>
      </w:r>
      <w:r>
        <w:rPr>
          <w:rStyle w:val="17"/>
          <w:rFonts w:hint="eastAsia" w:ascii="宋体" w:hAnsi="宋体" w:eastAsia="宋体" w:cs="宋体"/>
          <w:sz w:val="24"/>
          <w:szCs w:val="24"/>
          <w:vertAlign w:val="baseline"/>
        </w:rPr>
        <w:t>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r>
        <w:rPr>
          <w:rFonts w:hint="eastAsia" w:ascii="宋体" w:hAnsi="宋体" w:cs="宋体"/>
          <w:sz w:val="24"/>
          <w:szCs w:val="24"/>
          <w:vertAlign w:val="baseline"/>
          <w:lang w:eastAsia="zh-CN"/>
        </w:rPr>
        <w:t>；</w:t>
      </w:r>
    </w:p>
  </w:footnote>
  <w:footnote w:id="3">
    <w:p w14:paraId="1684C83D">
      <w:pPr>
        <w:pStyle w:val="9"/>
        <w:snapToGrid w:val="0"/>
      </w:pPr>
      <w:r>
        <w:rPr>
          <w:rStyle w:val="17"/>
          <w:rFonts w:hint="eastAsia" w:ascii="宋体" w:hAnsi="宋体" w:eastAsia="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footnoteRef/>
      </w:r>
      <w:r>
        <w:rPr>
          <w:rStyle w:val="17"/>
          <w:rFonts w:hint="eastAsia" w:ascii="宋体" w:hAnsi="宋体" w:eastAsia="宋体" w:cs="宋体"/>
          <w:sz w:val="24"/>
          <w:szCs w:val="24"/>
          <w:vertAlign w:val="baseline"/>
          <w:lang w:val="en-US" w:eastAsia="zh-CN"/>
        </w:rPr>
        <w:t>]《生产安全事故罚款处罚规定》第二十条</w:t>
      </w:r>
      <w:r>
        <w:rPr>
          <w:rFonts w:hint="eastAsia" w:ascii="宋体" w:hAnsi="宋体" w:eastAsia="宋体" w:cs="宋体"/>
          <w:sz w:val="24"/>
          <w:szCs w:val="24"/>
          <w:vertAlign w:val="baseline"/>
          <w:lang w:val="en-US" w:eastAsia="zh-CN"/>
        </w:rPr>
        <w:t xml:space="preserve"> </w:t>
      </w:r>
      <w:r>
        <w:rPr>
          <w:rStyle w:val="17"/>
          <w:rFonts w:hint="eastAsia" w:ascii="宋体" w:hAnsi="宋体" w:eastAsia="宋体" w:cs="宋体"/>
          <w:sz w:val="24"/>
          <w:szCs w:val="24"/>
          <w:vertAlign w:val="baseline"/>
          <w:lang w:val="en-US" w:eastAsia="zh-CN"/>
        </w:rPr>
        <w:t>事故发生单位其他负责人和安全生产管理人员未依法履行安全生产管理职责，导致事故发生的，依照下列规定处以罚款：（一）发生一般事故的，处上一年年收入20％至30%的罚款；</w:t>
      </w:r>
    </w:p>
  </w:footnote>
  <w:footnote w:id="4">
    <w:p w14:paraId="2821E89D">
      <w:pPr>
        <w:pStyle w:val="9"/>
        <w:snapToGrid w:val="0"/>
      </w:pPr>
      <w:r>
        <w:rPr>
          <w:rStyle w:val="17"/>
          <w:rFonts w:hint="eastAsia" w:ascii="宋体" w:hAnsi="宋体" w:eastAsia="宋体" w:cs="宋体"/>
          <w:sz w:val="24"/>
          <w:szCs w:val="24"/>
          <w:vertAlign w:val="baseline"/>
        </w:rPr>
        <w:t>[</w:t>
      </w:r>
      <w:r>
        <w:rPr>
          <w:rStyle w:val="17"/>
          <w:rFonts w:hint="eastAsia" w:ascii="宋体" w:hAnsi="宋体" w:eastAsia="宋体" w:cs="宋体"/>
          <w:sz w:val="24"/>
          <w:szCs w:val="24"/>
          <w:vertAlign w:val="baseline"/>
        </w:rPr>
        <w:footnoteRef/>
      </w:r>
      <w:r>
        <w:rPr>
          <w:rStyle w:val="17"/>
          <w:rFonts w:hint="eastAsia" w:ascii="宋体" w:hAnsi="宋体" w:eastAsia="宋体" w:cs="宋体"/>
          <w:sz w:val="24"/>
          <w:szCs w:val="24"/>
          <w:vertAlign w:val="baseline"/>
        </w:rPr>
        <w:t>]</w:t>
      </w:r>
      <w:r>
        <w:rPr>
          <w:rFonts w:hint="eastAsia" w:ascii="宋体" w:hAnsi="宋体" w:eastAsia="宋体" w:cs="宋体"/>
          <w:kern w:val="2"/>
          <w:sz w:val="24"/>
          <w:szCs w:val="24"/>
          <w:vertAlign w:val="baseline"/>
          <w:lang w:val="en-US" w:eastAsia="zh-CN" w:bidi="ar-SA"/>
        </w:rPr>
        <w:t>《中华人民共和国安全生产法》</w:t>
      </w:r>
      <w:r>
        <w:rPr>
          <w:rFonts w:hint="eastAsia" w:ascii="宋体" w:hAnsi="宋体" w:eastAsia="宋体" w:cs="宋体"/>
          <w:sz w:val="24"/>
          <w:szCs w:val="24"/>
          <w:vertAlign w:val="baseline"/>
          <w:lang w:val="en-US" w:eastAsia="zh-CN"/>
        </w:rPr>
        <w:t>第二十一条 生产经营单位的主要负责人对本单位安全生产工作负有下列职责：(五）组织建立并落实安全风险分级管控和隐患排查治理双重预防工作机制，督促、检查本单位的安全生产工作，及时消除生产安全事故隐患；</w:t>
      </w:r>
    </w:p>
  </w:footnote>
  <w:footnote w:id="5">
    <w:p w14:paraId="64FEC1E3">
      <w:pPr>
        <w:pStyle w:val="9"/>
        <w:keepNext w:val="0"/>
        <w:keepLines w:val="0"/>
        <w:pageBreakBefore w:val="0"/>
        <w:kinsoku/>
        <w:wordWrap/>
        <w:overflowPunct/>
        <w:topLinePunct w:val="0"/>
        <w:bidi w:val="0"/>
        <w:adjustRightInd/>
        <w:snapToGrid w:val="0"/>
        <w:spacing w:line="240" w:lineRule="auto"/>
        <w:textAlignment w:val="auto"/>
      </w:pPr>
      <w:r>
        <w:rPr>
          <w:rStyle w:val="17"/>
          <w:rFonts w:hint="eastAsia" w:ascii="宋体" w:hAnsi="宋体" w:eastAsia="宋体" w:cs="宋体"/>
          <w:sz w:val="24"/>
          <w:szCs w:val="24"/>
          <w:vertAlign w:val="baseline"/>
        </w:rPr>
        <w:t>[</w:t>
      </w:r>
      <w:r>
        <w:rPr>
          <w:rStyle w:val="17"/>
          <w:rFonts w:hint="eastAsia" w:ascii="宋体" w:hAnsi="宋体" w:eastAsia="宋体" w:cs="宋体"/>
          <w:sz w:val="24"/>
          <w:szCs w:val="24"/>
          <w:vertAlign w:val="baseline"/>
        </w:rPr>
        <w:footnoteRef/>
      </w:r>
      <w:r>
        <w:rPr>
          <w:rStyle w:val="17"/>
          <w:rFonts w:hint="eastAsia" w:ascii="宋体" w:hAnsi="宋体" w:eastAsia="宋体" w:cs="宋体"/>
          <w:sz w:val="24"/>
          <w:szCs w:val="24"/>
          <w:vertAlign w:val="baseline"/>
        </w:rPr>
        <w:t>]</w:t>
      </w:r>
      <w:r>
        <w:rPr>
          <w:rFonts w:hint="eastAsia" w:ascii="宋体" w:hAnsi="宋体" w:eastAsia="宋体" w:cs="宋体"/>
          <w:kern w:val="2"/>
          <w:sz w:val="24"/>
          <w:szCs w:val="24"/>
          <w:vertAlign w:val="baseline"/>
          <w:lang w:val="en-US" w:eastAsia="zh-CN" w:bidi="ar-SA"/>
        </w:rPr>
        <w:t>《中华人民共和国安全生产法》第九十五条第（一）项 生产经营单位的主要负责人未履行本法规定的安全生产管理职责，导致发生生产安全事故的，由应急管理部门依照下列规定处以罚款:（一）发生一般事故的，处上一年年收入百分之四十的罚款；</w:t>
      </w:r>
    </w:p>
  </w:footnote>
  <w:footnote w:id="6">
    <w:p w14:paraId="2FB77B0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adjustRightInd/>
        <w:spacing w:before="0" w:beforeAutospacing="0" w:after="0" w:afterAutospacing="0" w:line="240" w:lineRule="auto"/>
        <w:ind w:right="0"/>
        <w:jc w:val="both"/>
        <w:textAlignment w:val="auto"/>
      </w:pPr>
      <w:r>
        <w:rPr>
          <w:rFonts w:hint="eastAsia" w:ascii="宋体" w:hAnsi="宋体" w:eastAsia="宋体" w:cs="宋体"/>
          <w:kern w:val="2"/>
          <w:sz w:val="24"/>
          <w:szCs w:val="24"/>
          <w:vertAlign w:val="baseline"/>
          <w:lang w:val="en-US" w:eastAsia="zh-CN" w:bidi="ar-SA"/>
        </w:rPr>
        <w:t>[</w:t>
      </w:r>
      <w:r>
        <w:rPr>
          <w:rFonts w:hint="eastAsia" w:ascii="宋体" w:hAnsi="宋体" w:eastAsia="宋体" w:cs="宋体"/>
          <w:kern w:val="2"/>
          <w:sz w:val="24"/>
          <w:szCs w:val="24"/>
          <w:vertAlign w:val="baseline"/>
          <w:lang w:val="en-US" w:eastAsia="zh-CN" w:bidi="ar-SA"/>
        </w:rPr>
        <w:footnoteRef/>
      </w:r>
      <w:r>
        <w:rPr>
          <w:rFonts w:hint="eastAsia" w:ascii="宋体" w:hAnsi="宋体" w:eastAsia="宋体" w:cs="宋体"/>
          <w:kern w:val="2"/>
          <w:sz w:val="24"/>
          <w:szCs w:val="24"/>
          <w:vertAlign w:val="baseline"/>
          <w:lang w:val="en-US" w:eastAsia="zh-CN" w:bidi="ar-SA"/>
        </w:rPr>
        <w:t>]《生产安全事故罚款处罚规定》第十九条 事故发生单位主要负责人未依法履行安全生产管理职责，导致事故发生的，依照下列规定处以罚款：（一）发生一般事故的，处上一年年收入40％的罚款；</w:t>
      </w:r>
    </w:p>
  </w:footnote>
  <w:footnote w:id="7">
    <w:p w14:paraId="49644EDE">
      <w:pPr>
        <w:pStyle w:val="9"/>
        <w:snapToGrid w:val="0"/>
        <w:rPr>
          <w:rStyle w:val="17"/>
          <w:rFonts w:hint="eastAsia" w:ascii="宋体" w:hAnsi="宋体" w:eastAsia="宋体" w:cs="宋体"/>
          <w:sz w:val="24"/>
          <w:szCs w:val="24"/>
          <w:vertAlign w:val="baseline"/>
          <w:lang w:val="en-US" w:eastAsia="zh-CN"/>
        </w:rPr>
      </w:pPr>
      <w:r>
        <w:rPr>
          <w:rStyle w:val="17"/>
          <w:rFonts w:hint="eastAsia" w:ascii="宋体" w:hAnsi="宋体" w:eastAsia="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footnoteRef/>
      </w:r>
      <w:r>
        <w:rPr>
          <w:rStyle w:val="17"/>
          <w:rFonts w:hint="eastAsia" w:ascii="宋体" w:hAnsi="宋体" w:eastAsia="宋体" w:cs="宋体"/>
          <w:sz w:val="24"/>
          <w:szCs w:val="24"/>
          <w:vertAlign w:val="baseline"/>
          <w:lang w:val="en-US" w:eastAsia="zh-CN"/>
        </w:rPr>
        <w:t>]《中华人民共和国安全生产法》</w:t>
      </w:r>
      <w:r>
        <w:rPr>
          <w:rFonts w:hint="eastAsia" w:ascii="宋体" w:hAnsi="宋体" w:eastAsia="宋体" w:cs="宋体"/>
          <w:sz w:val="24"/>
          <w:szCs w:val="24"/>
          <w:vertAlign w:val="baseline"/>
          <w:lang w:val="en-US" w:eastAsia="zh-CN"/>
        </w:rPr>
        <w:t xml:space="preserve">第四十九条第二款 </w:t>
      </w:r>
      <w:r>
        <w:rPr>
          <w:rStyle w:val="17"/>
          <w:rFonts w:hint="eastAsia" w:ascii="宋体" w:hAnsi="宋体" w:eastAsia="宋体" w:cs="宋体"/>
          <w:sz w:val="24"/>
          <w:szCs w:val="24"/>
          <w:vertAlign w:val="baseline"/>
          <w:lang w:val="en-US" w:eastAsia="zh-CN"/>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footnote>
  <w:footnote w:id="8">
    <w:p w14:paraId="0DF62526">
      <w:pPr>
        <w:pStyle w:val="9"/>
        <w:snapToGrid w:val="0"/>
        <w:rPr>
          <w:rStyle w:val="17"/>
          <w:rFonts w:hint="eastAsia" w:ascii="宋体" w:hAnsi="宋体" w:eastAsia="宋体" w:cs="宋体"/>
          <w:sz w:val="24"/>
          <w:szCs w:val="24"/>
          <w:vertAlign w:val="baseline"/>
          <w:lang w:val="en-US" w:eastAsia="zh-CN"/>
        </w:rPr>
      </w:pPr>
      <w:r>
        <w:rPr>
          <w:rStyle w:val="17"/>
          <w:rFonts w:hint="eastAsia" w:ascii="宋体" w:hAnsi="宋体" w:eastAsia="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footnoteRef/>
      </w:r>
      <w:r>
        <w:rPr>
          <w:rStyle w:val="17"/>
          <w:rFonts w:hint="eastAsia" w:ascii="宋体" w:hAnsi="宋体" w:eastAsia="宋体" w:cs="宋体"/>
          <w:sz w:val="24"/>
          <w:szCs w:val="24"/>
          <w:vertAlign w:val="baseline"/>
          <w:lang w:val="en-US" w:eastAsia="zh-CN"/>
        </w:rPr>
        <w:t>]《中华人民共和国安全生产法》第一百零三条第二款 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r>
        <w:rPr>
          <w:rFonts w:hint="eastAsia" w:ascii="宋体" w:hAnsi="宋体" w:cs="宋体"/>
          <w:sz w:val="24"/>
          <w:szCs w:val="24"/>
          <w:vertAlign w:val="baseline"/>
          <w:lang w:val="en-US" w:eastAsia="zh-CN"/>
        </w:rPr>
        <w:t>；</w:t>
      </w:r>
    </w:p>
  </w:footnote>
  <w:footnote w:id="9">
    <w:p w14:paraId="15D2A63B">
      <w:pPr>
        <w:pStyle w:val="9"/>
        <w:snapToGrid w:val="0"/>
        <w:rPr>
          <w:rStyle w:val="17"/>
          <w:rFonts w:hint="default" w:ascii="宋体" w:hAnsi="宋体" w:eastAsia="宋体" w:cs="宋体"/>
          <w:sz w:val="24"/>
          <w:szCs w:val="24"/>
          <w:vertAlign w:val="baseline"/>
          <w:lang w:val="en-US" w:eastAsia="zh-CN"/>
        </w:rPr>
      </w:pPr>
      <w:r>
        <w:rPr>
          <w:rStyle w:val="17"/>
          <w:rFonts w:hint="eastAsia" w:ascii="宋体" w:hAnsi="宋体" w:eastAsia="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footnoteRef/>
      </w:r>
      <w:r>
        <w:rPr>
          <w:rStyle w:val="17"/>
          <w:rFonts w:hint="eastAsia" w:ascii="宋体" w:hAnsi="宋体" w:eastAsia="宋体" w:cs="宋体"/>
          <w:sz w:val="24"/>
          <w:szCs w:val="24"/>
          <w:vertAlign w:val="baseline"/>
          <w:lang w:val="en-US" w:eastAsia="zh-CN"/>
        </w:rPr>
        <w:t>]《应急管理行政处罚裁量权基准》裁量细则第58项B档 生产经营单位未对承包单位、承租单位的安全生产统一协调、管理的责令限期改正，处2万元以上4万元以下的罚款，对其直接负责的主管人员和其他直接责任人员处1万元以下的罚款；逾期未改正的，责令停产停业整顿</w:t>
      </w:r>
      <w:r>
        <w:rPr>
          <w:rFonts w:hint="eastAsia" w:ascii="宋体" w:hAnsi="宋体" w:cs="宋体"/>
          <w:sz w:val="24"/>
          <w:szCs w:val="24"/>
          <w:vertAlign w:val="baseline"/>
          <w:lang w:val="en-US" w:eastAsia="zh-CN"/>
        </w:rPr>
        <w:t>；</w:t>
      </w:r>
    </w:p>
  </w:footnote>
  <w:footnote w:id="10">
    <w:p w14:paraId="23121AA8">
      <w:pPr>
        <w:pStyle w:val="9"/>
        <w:snapToGrid w:val="0"/>
        <w:rPr>
          <w:rStyle w:val="17"/>
          <w:rFonts w:hint="eastAsia" w:ascii="宋体" w:hAnsi="宋体" w:eastAsia="宋体" w:cs="宋体"/>
          <w:sz w:val="24"/>
          <w:szCs w:val="24"/>
          <w:vertAlign w:val="baseline"/>
          <w:lang w:val="en-US" w:eastAsia="zh-CN"/>
        </w:rPr>
      </w:pPr>
      <w:r>
        <w:rPr>
          <w:rStyle w:val="17"/>
          <w:rFonts w:hint="eastAsia" w:ascii="宋体" w:hAnsi="宋体" w:eastAsia="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footnoteRef/>
      </w:r>
      <w:r>
        <w:rPr>
          <w:rStyle w:val="17"/>
          <w:rFonts w:hint="eastAsia" w:ascii="宋体" w:hAnsi="宋体" w:eastAsia="宋体" w:cs="宋体"/>
          <w:sz w:val="24"/>
          <w:szCs w:val="24"/>
          <w:vertAlign w:val="baseline"/>
          <w:lang w:val="en-US" w:eastAsia="zh-CN"/>
        </w:rPr>
        <w:t>]</w:t>
      </w:r>
      <w:r>
        <w:rPr>
          <w:rFonts w:hint="eastAsia" w:ascii="宋体" w:hAnsi="宋体" w:cs="宋体"/>
          <w:sz w:val="24"/>
          <w:szCs w:val="24"/>
          <w:vertAlign w:val="baseline"/>
          <w:lang w:eastAsia="zh-CN"/>
        </w:rPr>
        <w:t>《中华人民共和国安全生产法》</w:t>
      </w:r>
      <w:r>
        <w:rPr>
          <w:rStyle w:val="17"/>
          <w:rFonts w:hint="eastAsia" w:ascii="宋体" w:hAnsi="宋体" w:eastAsia="宋体" w:cs="宋体"/>
          <w:sz w:val="24"/>
          <w:szCs w:val="24"/>
          <w:vertAlign w:val="baseline"/>
          <w:lang w:val="en-US" w:eastAsia="zh-CN"/>
        </w:rPr>
        <w:t>第四条</w:t>
      </w:r>
      <w:r>
        <w:rPr>
          <w:rFonts w:hint="eastAsia" w:ascii="宋体" w:hAnsi="宋体" w:eastAsia="宋体" w:cs="宋体"/>
          <w:sz w:val="24"/>
          <w:szCs w:val="24"/>
          <w:vertAlign w:val="baseline"/>
          <w:lang w:val="en-US" w:eastAsia="zh-CN"/>
        </w:rPr>
        <w:t xml:space="preserve"> </w:t>
      </w:r>
      <w:r>
        <w:rPr>
          <w:rStyle w:val="17"/>
          <w:rFonts w:hint="eastAsia" w:ascii="宋体" w:hAnsi="宋体" w:eastAsia="宋体" w:cs="宋体"/>
          <w:sz w:val="24"/>
          <w:szCs w:val="24"/>
          <w:vertAlign w:val="baseline"/>
          <w:lang w:val="en-US" w:eastAsia="zh-CN"/>
        </w:rPr>
        <w:t>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r>
        <w:rPr>
          <w:rFonts w:hint="eastAsia" w:ascii="宋体" w:hAnsi="宋体" w:cs="宋体"/>
          <w:sz w:val="24"/>
          <w:szCs w:val="24"/>
          <w:vertAlign w:val="baseline"/>
          <w:lang w:val="en-US" w:eastAsia="zh-CN"/>
        </w:rPr>
        <w:t>；</w:t>
      </w:r>
    </w:p>
  </w:footnote>
  <w:footnote w:id="11">
    <w:p w14:paraId="6AACA38E">
      <w:pPr>
        <w:pStyle w:val="9"/>
        <w:snapToGrid w:val="0"/>
        <w:rPr>
          <w:rStyle w:val="17"/>
          <w:rFonts w:hint="eastAsia" w:ascii="宋体" w:hAnsi="宋体" w:eastAsia="宋体" w:cs="宋体"/>
          <w:sz w:val="24"/>
          <w:szCs w:val="24"/>
          <w:vertAlign w:val="baseline"/>
          <w:lang w:val="en-US" w:eastAsia="zh-CN"/>
        </w:rPr>
      </w:pPr>
      <w:r>
        <w:rPr>
          <w:rStyle w:val="17"/>
          <w:rFonts w:hint="eastAsia" w:ascii="宋体" w:hAnsi="宋体" w:eastAsia="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footnoteRef/>
      </w:r>
      <w:r>
        <w:rPr>
          <w:rStyle w:val="17"/>
          <w:rFonts w:hint="eastAsia" w:ascii="宋体" w:hAnsi="宋体" w:eastAsia="宋体" w:cs="宋体"/>
          <w:sz w:val="24"/>
          <w:szCs w:val="24"/>
          <w:vertAlign w:val="baseline"/>
          <w:lang w:val="en-US" w:eastAsia="zh-CN"/>
        </w:rPr>
        <w:t>]《中华人民共和国安全生产法》第一百一十四条</w:t>
      </w:r>
      <w:r>
        <w:rPr>
          <w:rFonts w:hint="eastAsia" w:ascii="宋体" w:hAnsi="宋体" w:cs="宋体"/>
          <w:sz w:val="24"/>
          <w:szCs w:val="24"/>
          <w:vertAlign w:val="baseline"/>
          <w:lang w:val="en-US" w:eastAsia="zh-CN"/>
        </w:rPr>
        <w:t xml:space="preserve"> </w:t>
      </w:r>
      <w:r>
        <w:rPr>
          <w:rStyle w:val="17"/>
          <w:rFonts w:hint="eastAsia" w:ascii="宋体" w:hAnsi="宋体" w:eastAsia="宋体" w:cs="宋体"/>
          <w:sz w:val="24"/>
          <w:szCs w:val="24"/>
          <w:vertAlign w:val="baseline"/>
          <w:lang w:val="en-US" w:eastAsia="zh-CN"/>
        </w:rPr>
        <w:t>发生生产安全事故，对负有责任的生产经营单位除要求其依法承担相应的赔偿等责任外，由应急管理部门依照下列规定处以罚款:（一）发生一般事故的，处三十万元以上一百万元以下的罚款；</w:t>
      </w:r>
    </w:p>
  </w:footnote>
  <w:footnote w:id="12">
    <w:p w14:paraId="591AF418">
      <w:pPr>
        <w:pStyle w:val="9"/>
        <w:snapToGrid w:val="0"/>
        <w:rPr>
          <w:rStyle w:val="17"/>
          <w:rFonts w:hint="eastAsia" w:ascii="宋体" w:hAnsi="宋体" w:eastAsia="宋体" w:cs="宋体"/>
          <w:sz w:val="24"/>
          <w:szCs w:val="24"/>
          <w:vertAlign w:val="baseline"/>
          <w:lang w:val="en-US" w:eastAsia="zh-CN"/>
        </w:rPr>
      </w:pPr>
      <w:r>
        <w:rPr>
          <w:rStyle w:val="17"/>
          <w:rFonts w:hint="eastAsia" w:ascii="宋体" w:hAnsi="宋体" w:eastAsia="宋体" w:cs="宋体"/>
          <w:sz w:val="24"/>
          <w:szCs w:val="24"/>
          <w:vertAlign w:val="baseline"/>
          <w:lang w:val="en-US" w:eastAsia="zh-CN"/>
        </w:rPr>
        <w:t>[</w:t>
      </w:r>
      <w:r>
        <w:rPr>
          <w:rStyle w:val="17"/>
          <w:rFonts w:hint="eastAsia" w:ascii="宋体" w:hAnsi="宋体" w:eastAsia="宋体" w:cs="宋体"/>
          <w:sz w:val="24"/>
          <w:szCs w:val="24"/>
          <w:vertAlign w:val="baseline"/>
          <w:lang w:val="en-US" w:eastAsia="zh-CN"/>
        </w:rPr>
        <w:footnoteRef/>
      </w:r>
      <w:r>
        <w:rPr>
          <w:rStyle w:val="17"/>
          <w:rFonts w:hint="eastAsia" w:ascii="宋体" w:hAnsi="宋体" w:eastAsia="宋体" w:cs="宋体"/>
          <w:sz w:val="24"/>
          <w:szCs w:val="24"/>
          <w:vertAlign w:val="baseline"/>
          <w:lang w:val="en-US" w:eastAsia="zh-CN"/>
        </w:rPr>
        <w:t>]《生产安全事故罚款处罚规定》第十四条</w:t>
      </w:r>
      <w:r>
        <w:rPr>
          <w:rFonts w:hint="eastAsia" w:ascii="宋体" w:hAnsi="宋体" w:eastAsia="宋体" w:cs="宋体"/>
          <w:sz w:val="24"/>
          <w:szCs w:val="24"/>
          <w:vertAlign w:val="baseline"/>
          <w:lang w:val="en-US" w:eastAsia="zh-CN"/>
        </w:rPr>
        <w:t xml:space="preserve"> </w:t>
      </w:r>
      <w:r>
        <w:rPr>
          <w:rStyle w:val="17"/>
          <w:rFonts w:hint="eastAsia" w:ascii="宋体" w:hAnsi="宋体" w:eastAsia="宋体" w:cs="宋体"/>
          <w:sz w:val="24"/>
          <w:szCs w:val="24"/>
          <w:vertAlign w:val="baseline"/>
          <w:lang w:val="en-US" w:eastAsia="zh-CN"/>
        </w:rPr>
        <w:t>事故发生单位对一般事故负有责任的，依照下列规定处以罚款：（二）造成1人死亡，或者3人以上6人以下重伤，或者300万元以上500万元以下直接经济损失的，处50万元以上70万元以下的罚款；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footnotePr>
    <w:footnote w:id="26"/>
    <w:footnote w:id="27"/>
  </w:footnotePr>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wYmFlYzIwNjVjNmI0MjQwYmIzNTQ4NWM2NzFjYzkifQ=="/>
  </w:docVars>
  <w:rsids>
    <w:rsidRoot w:val="00172A27"/>
    <w:rsid w:val="000A6389"/>
    <w:rsid w:val="000D7C9A"/>
    <w:rsid w:val="00117B8A"/>
    <w:rsid w:val="002E6079"/>
    <w:rsid w:val="002F06E1"/>
    <w:rsid w:val="00324C98"/>
    <w:rsid w:val="00327225"/>
    <w:rsid w:val="00376471"/>
    <w:rsid w:val="00510C29"/>
    <w:rsid w:val="005844CB"/>
    <w:rsid w:val="00777101"/>
    <w:rsid w:val="007D3D93"/>
    <w:rsid w:val="007E6033"/>
    <w:rsid w:val="009A5E7B"/>
    <w:rsid w:val="009B5644"/>
    <w:rsid w:val="009F5992"/>
    <w:rsid w:val="00B2110D"/>
    <w:rsid w:val="00BD48F0"/>
    <w:rsid w:val="00BE4423"/>
    <w:rsid w:val="00BE6F88"/>
    <w:rsid w:val="00BF37EC"/>
    <w:rsid w:val="00C64509"/>
    <w:rsid w:val="00CF608E"/>
    <w:rsid w:val="00D15404"/>
    <w:rsid w:val="00D37AB3"/>
    <w:rsid w:val="00DA10B2"/>
    <w:rsid w:val="00E44B7A"/>
    <w:rsid w:val="00F51D96"/>
    <w:rsid w:val="00F56552"/>
    <w:rsid w:val="01472C93"/>
    <w:rsid w:val="016C2AC1"/>
    <w:rsid w:val="016E4000"/>
    <w:rsid w:val="017B364B"/>
    <w:rsid w:val="01860F86"/>
    <w:rsid w:val="0187631C"/>
    <w:rsid w:val="018E7E7F"/>
    <w:rsid w:val="01944E82"/>
    <w:rsid w:val="01A16B43"/>
    <w:rsid w:val="01CA287D"/>
    <w:rsid w:val="01E72C43"/>
    <w:rsid w:val="01FF3757"/>
    <w:rsid w:val="02131F92"/>
    <w:rsid w:val="02253BF3"/>
    <w:rsid w:val="0232367C"/>
    <w:rsid w:val="024D5FFC"/>
    <w:rsid w:val="0267534A"/>
    <w:rsid w:val="0278134D"/>
    <w:rsid w:val="029D3FCB"/>
    <w:rsid w:val="02DB376D"/>
    <w:rsid w:val="02F02042"/>
    <w:rsid w:val="03656C6D"/>
    <w:rsid w:val="03864D7D"/>
    <w:rsid w:val="038C2B9E"/>
    <w:rsid w:val="038C6652"/>
    <w:rsid w:val="03B22517"/>
    <w:rsid w:val="03BC05FB"/>
    <w:rsid w:val="03C13F9B"/>
    <w:rsid w:val="03CC3D1C"/>
    <w:rsid w:val="03D667FB"/>
    <w:rsid w:val="03E00811"/>
    <w:rsid w:val="03E93B9D"/>
    <w:rsid w:val="041F79E4"/>
    <w:rsid w:val="04261D51"/>
    <w:rsid w:val="04AF7B0C"/>
    <w:rsid w:val="04B429B7"/>
    <w:rsid w:val="04D53ED0"/>
    <w:rsid w:val="04D81FB1"/>
    <w:rsid w:val="04E73EC8"/>
    <w:rsid w:val="04FE431C"/>
    <w:rsid w:val="050F1125"/>
    <w:rsid w:val="052E32C0"/>
    <w:rsid w:val="053F5928"/>
    <w:rsid w:val="05486B23"/>
    <w:rsid w:val="05751005"/>
    <w:rsid w:val="05A32C6F"/>
    <w:rsid w:val="05A67604"/>
    <w:rsid w:val="05BB16B5"/>
    <w:rsid w:val="05CA3413"/>
    <w:rsid w:val="05CA44E8"/>
    <w:rsid w:val="05E03A04"/>
    <w:rsid w:val="05E06070"/>
    <w:rsid w:val="05EC490E"/>
    <w:rsid w:val="06154776"/>
    <w:rsid w:val="064737A8"/>
    <w:rsid w:val="065349E1"/>
    <w:rsid w:val="0673612A"/>
    <w:rsid w:val="06A8463C"/>
    <w:rsid w:val="06F074F0"/>
    <w:rsid w:val="06F768B6"/>
    <w:rsid w:val="075023E1"/>
    <w:rsid w:val="076B2AF4"/>
    <w:rsid w:val="07775CA2"/>
    <w:rsid w:val="077F6C4A"/>
    <w:rsid w:val="07B3689C"/>
    <w:rsid w:val="07DD6167"/>
    <w:rsid w:val="07DF0525"/>
    <w:rsid w:val="080058C1"/>
    <w:rsid w:val="081A2B7E"/>
    <w:rsid w:val="084D23D5"/>
    <w:rsid w:val="08527CFF"/>
    <w:rsid w:val="086A64A4"/>
    <w:rsid w:val="08C23A32"/>
    <w:rsid w:val="08D800BC"/>
    <w:rsid w:val="08DA1A41"/>
    <w:rsid w:val="08E249F8"/>
    <w:rsid w:val="08F01F27"/>
    <w:rsid w:val="08F85810"/>
    <w:rsid w:val="0914221F"/>
    <w:rsid w:val="09175C96"/>
    <w:rsid w:val="091D530B"/>
    <w:rsid w:val="091E039B"/>
    <w:rsid w:val="093845E0"/>
    <w:rsid w:val="093F5493"/>
    <w:rsid w:val="09416C8B"/>
    <w:rsid w:val="094B0747"/>
    <w:rsid w:val="097E3ED4"/>
    <w:rsid w:val="098733A3"/>
    <w:rsid w:val="09A756C1"/>
    <w:rsid w:val="09C355DF"/>
    <w:rsid w:val="09C8018F"/>
    <w:rsid w:val="09D051C0"/>
    <w:rsid w:val="09D84692"/>
    <w:rsid w:val="09EA38BA"/>
    <w:rsid w:val="0A085762"/>
    <w:rsid w:val="0A0A3C3A"/>
    <w:rsid w:val="0A190E79"/>
    <w:rsid w:val="0A1A5BC2"/>
    <w:rsid w:val="0A275D5F"/>
    <w:rsid w:val="0A674FFD"/>
    <w:rsid w:val="0A680E86"/>
    <w:rsid w:val="0A9E586B"/>
    <w:rsid w:val="0ABC616B"/>
    <w:rsid w:val="0ACD1270"/>
    <w:rsid w:val="0AF11167"/>
    <w:rsid w:val="0B2F0128"/>
    <w:rsid w:val="0B3C7DFE"/>
    <w:rsid w:val="0B452241"/>
    <w:rsid w:val="0B654B26"/>
    <w:rsid w:val="0B803143"/>
    <w:rsid w:val="0B93202F"/>
    <w:rsid w:val="0B977C2D"/>
    <w:rsid w:val="0B995822"/>
    <w:rsid w:val="0BB42D8C"/>
    <w:rsid w:val="0BB90906"/>
    <w:rsid w:val="0BD232F9"/>
    <w:rsid w:val="0C0F5B83"/>
    <w:rsid w:val="0C7D22B4"/>
    <w:rsid w:val="0C8C2E49"/>
    <w:rsid w:val="0C8E6342"/>
    <w:rsid w:val="0CBA1C7F"/>
    <w:rsid w:val="0CD5185F"/>
    <w:rsid w:val="0CE77440"/>
    <w:rsid w:val="0D121D43"/>
    <w:rsid w:val="0D2050F0"/>
    <w:rsid w:val="0D2B64BD"/>
    <w:rsid w:val="0D4202F9"/>
    <w:rsid w:val="0D766DF3"/>
    <w:rsid w:val="0D8117CE"/>
    <w:rsid w:val="0D8970DA"/>
    <w:rsid w:val="0D9E4403"/>
    <w:rsid w:val="0E362E73"/>
    <w:rsid w:val="0E5C71F5"/>
    <w:rsid w:val="0E615A08"/>
    <w:rsid w:val="0E736BB4"/>
    <w:rsid w:val="0E88510B"/>
    <w:rsid w:val="0E8F1E67"/>
    <w:rsid w:val="0E935B36"/>
    <w:rsid w:val="0E952A04"/>
    <w:rsid w:val="0EEF1863"/>
    <w:rsid w:val="0EF366FB"/>
    <w:rsid w:val="0F085B89"/>
    <w:rsid w:val="0F296E49"/>
    <w:rsid w:val="0F325B32"/>
    <w:rsid w:val="0F367B09"/>
    <w:rsid w:val="0F3931EF"/>
    <w:rsid w:val="0F43569C"/>
    <w:rsid w:val="0F4E71A2"/>
    <w:rsid w:val="0F6875C3"/>
    <w:rsid w:val="0F817EE3"/>
    <w:rsid w:val="0FA57F93"/>
    <w:rsid w:val="0FAC4D03"/>
    <w:rsid w:val="0FB65A25"/>
    <w:rsid w:val="0FB962EC"/>
    <w:rsid w:val="0FE00284"/>
    <w:rsid w:val="0FED08B9"/>
    <w:rsid w:val="10007BA5"/>
    <w:rsid w:val="10397DB4"/>
    <w:rsid w:val="1049083F"/>
    <w:rsid w:val="10AA725A"/>
    <w:rsid w:val="10BF79E2"/>
    <w:rsid w:val="10F675DA"/>
    <w:rsid w:val="112C5D66"/>
    <w:rsid w:val="116B47A3"/>
    <w:rsid w:val="117C7A5C"/>
    <w:rsid w:val="11A830C4"/>
    <w:rsid w:val="11A9602D"/>
    <w:rsid w:val="11CA511C"/>
    <w:rsid w:val="121F04AF"/>
    <w:rsid w:val="12244DD6"/>
    <w:rsid w:val="123064A2"/>
    <w:rsid w:val="124712BA"/>
    <w:rsid w:val="125B34F1"/>
    <w:rsid w:val="12603CB1"/>
    <w:rsid w:val="12BD0C25"/>
    <w:rsid w:val="12E65A0B"/>
    <w:rsid w:val="12EF7FC5"/>
    <w:rsid w:val="12F310D9"/>
    <w:rsid w:val="130277D3"/>
    <w:rsid w:val="130D3368"/>
    <w:rsid w:val="130F588A"/>
    <w:rsid w:val="13135EB3"/>
    <w:rsid w:val="13174B90"/>
    <w:rsid w:val="131D58F5"/>
    <w:rsid w:val="13433B2C"/>
    <w:rsid w:val="136C288B"/>
    <w:rsid w:val="137A39DF"/>
    <w:rsid w:val="138630FE"/>
    <w:rsid w:val="13930BE4"/>
    <w:rsid w:val="13A46858"/>
    <w:rsid w:val="1408603D"/>
    <w:rsid w:val="142C0CFF"/>
    <w:rsid w:val="143C7379"/>
    <w:rsid w:val="144D0F42"/>
    <w:rsid w:val="1479104D"/>
    <w:rsid w:val="1491702F"/>
    <w:rsid w:val="14A52060"/>
    <w:rsid w:val="14A8186F"/>
    <w:rsid w:val="14E35ED2"/>
    <w:rsid w:val="150672BB"/>
    <w:rsid w:val="1527129A"/>
    <w:rsid w:val="15303E55"/>
    <w:rsid w:val="15381664"/>
    <w:rsid w:val="1554048D"/>
    <w:rsid w:val="15572B3E"/>
    <w:rsid w:val="1560731F"/>
    <w:rsid w:val="15D81C05"/>
    <w:rsid w:val="15EA63D6"/>
    <w:rsid w:val="15F015DF"/>
    <w:rsid w:val="15FF1B36"/>
    <w:rsid w:val="161C3AF2"/>
    <w:rsid w:val="162864F0"/>
    <w:rsid w:val="16307A0E"/>
    <w:rsid w:val="16354957"/>
    <w:rsid w:val="16400E80"/>
    <w:rsid w:val="165669BE"/>
    <w:rsid w:val="16642E13"/>
    <w:rsid w:val="168F5E4A"/>
    <w:rsid w:val="16A50683"/>
    <w:rsid w:val="16BD23AB"/>
    <w:rsid w:val="16C277CE"/>
    <w:rsid w:val="16CD245F"/>
    <w:rsid w:val="16F039EA"/>
    <w:rsid w:val="16F9695E"/>
    <w:rsid w:val="17116BE4"/>
    <w:rsid w:val="17380358"/>
    <w:rsid w:val="17597921"/>
    <w:rsid w:val="1762082D"/>
    <w:rsid w:val="176412D4"/>
    <w:rsid w:val="1774149C"/>
    <w:rsid w:val="1775544C"/>
    <w:rsid w:val="17906DE4"/>
    <w:rsid w:val="17945725"/>
    <w:rsid w:val="17A930F2"/>
    <w:rsid w:val="17B340E8"/>
    <w:rsid w:val="17CB158D"/>
    <w:rsid w:val="17D303BE"/>
    <w:rsid w:val="17D60F90"/>
    <w:rsid w:val="17DF4046"/>
    <w:rsid w:val="17F52FDC"/>
    <w:rsid w:val="181D0965"/>
    <w:rsid w:val="181D7E38"/>
    <w:rsid w:val="18534811"/>
    <w:rsid w:val="186E2BE4"/>
    <w:rsid w:val="187B68D8"/>
    <w:rsid w:val="18A74CF8"/>
    <w:rsid w:val="18A80810"/>
    <w:rsid w:val="18BF4BC6"/>
    <w:rsid w:val="193E7CF4"/>
    <w:rsid w:val="196A31FD"/>
    <w:rsid w:val="196B222B"/>
    <w:rsid w:val="1985296C"/>
    <w:rsid w:val="198D0267"/>
    <w:rsid w:val="198E21E5"/>
    <w:rsid w:val="199D4349"/>
    <w:rsid w:val="19A85F6F"/>
    <w:rsid w:val="19B04485"/>
    <w:rsid w:val="19D00C5D"/>
    <w:rsid w:val="19D84FCE"/>
    <w:rsid w:val="19EA44D9"/>
    <w:rsid w:val="1A171133"/>
    <w:rsid w:val="1A3F2201"/>
    <w:rsid w:val="1A4E0974"/>
    <w:rsid w:val="1A613435"/>
    <w:rsid w:val="1A626994"/>
    <w:rsid w:val="1A6C0381"/>
    <w:rsid w:val="1AAE1E0B"/>
    <w:rsid w:val="1ACD3D75"/>
    <w:rsid w:val="1AD16079"/>
    <w:rsid w:val="1B0C4E30"/>
    <w:rsid w:val="1B0E3C77"/>
    <w:rsid w:val="1B23343B"/>
    <w:rsid w:val="1B3E5E4E"/>
    <w:rsid w:val="1B693EFB"/>
    <w:rsid w:val="1B776D84"/>
    <w:rsid w:val="1B7C6D7B"/>
    <w:rsid w:val="1BB261A2"/>
    <w:rsid w:val="1BD911C0"/>
    <w:rsid w:val="1BF023F0"/>
    <w:rsid w:val="1C00180F"/>
    <w:rsid w:val="1C136E78"/>
    <w:rsid w:val="1C3603A4"/>
    <w:rsid w:val="1C697B3D"/>
    <w:rsid w:val="1C8B5E7E"/>
    <w:rsid w:val="1C9032A7"/>
    <w:rsid w:val="1C99534B"/>
    <w:rsid w:val="1C9C75E8"/>
    <w:rsid w:val="1CB87339"/>
    <w:rsid w:val="1CF726B4"/>
    <w:rsid w:val="1D0666B5"/>
    <w:rsid w:val="1D3B0FFC"/>
    <w:rsid w:val="1D49390D"/>
    <w:rsid w:val="1D5230A5"/>
    <w:rsid w:val="1D5E0AC4"/>
    <w:rsid w:val="1D6234CB"/>
    <w:rsid w:val="1D651FE1"/>
    <w:rsid w:val="1D6E2076"/>
    <w:rsid w:val="1D730091"/>
    <w:rsid w:val="1D8114A5"/>
    <w:rsid w:val="1D86683A"/>
    <w:rsid w:val="1D8F1E47"/>
    <w:rsid w:val="1DA67C45"/>
    <w:rsid w:val="1DC94D65"/>
    <w:rsid w:val="1DD8314B"/>
    <w:rsid w:val="1DDF4ABA"/>
    <w:rsid w:val="1DEA52CD"/>
    <w:rsid w:val="1DF6016C"/>
    <w:rsid w:val="1E145339"/>
    <w:rsid w:val="1E1507C3"/>
    <w:rsid w:val="1E162151"/>
    <w:rsid w:val="1E1B61BE"/>
    <w:rsid w:val="1E3725D0"/>
    <w:rsid w:val="1E3D457D"/>
    <w:rsid w:val="1E4D70BB"/>
    <w:rsid w:val="1E593151"/>
    <w:rsid w:val="1E5D5D39"/>
    <w:rsid w:val="1E606CCB"/>
    <w:rsid w:val="1E74728F"/>
    <w:rsid w:val="1EA54B55"/>
    <w:rsid w:val="1EC7388A"/>
    <w:rsid w:val="1EE936E6"/>
    <w:rsid w:val="1EED3B4E"/>
    <w:rsid w:val="1F10443D"/>
    <w:rsid w:val="1F1840BF"/>
    <w:rsid w:val="1F1A11FC"/>
    <w:rsid w:val="1F2A1266"/>
    <w:rsid w:val="1F2B1E1A"/>
    <w:rsid w:val="1F2F5711"/>
    <w:rsid w:val="1F4B299E"/>
    <w:rsid w:val="1F6421F0"/>
    <w:rsid w:val="1F8D13A7"/>
    <w:rsid w:val="1FA73E1B"/>
    <w:rsid w:val="1FA81FC9"/>
    <w:rsid w:val="1FB75370"/>
    <w:rsid w:val="1FBF68A1"/>
    <w:rsid w:val="1FE267BE"/>
    <w:rsid w:val="1FE40ADA"/>
    <w:rsid w:val="20006279"/>
    <w:rsid w:val="20233E40"/>
    <w:rsid w:val="202734C2"/>
    <w:rsid w:val="20801BD1"/>
    <w:rsid w:val="20862E5D"/>
    <w:rsid w:val="20AE3CCE"/>
    <w:rsid w:val="20B959D1"/>
    <w:rsid w:val="20F54848"/>
    <w:rsid w:val="20F808BE"/>
    <w:rsid w:val="21051A95"/>
    <w:rsid w:val="210E4AF0"/>
    <w:rsid w:val="2125013E"/>
    <w:rsid w:val="212C2781"/>
    <w:rsid w:val="212E01DA"/>
    <w:rsid w:val="21396E35"/>
    <w:rsid w:val="213B3D81"/>
    <w:rsid w:val="21426FD9"/>
    <w:rsid w:val="21475B7A"/>
    <w:rsid w:val="215D76A9"/>
    <w:rsid w:val="218A5665"/>
    <w:rsid w:val="21A14A78"/>
    <w:rsid w:val="21B92932"/>
    <w:rsid w:val="21EA0C61"/>
    <w:rsid w:val="21F11854"/>
    <w:rsid w:val="21F50B59"/>
    <w:rsid w:val="21F63DCD"/>
    <w:rsid w:val="21FE57EE"/>
    <w:rsid w:val="220929FA"/>
    <w:rsid w:val="22140B6D"/>
    <w:rsid w:val="22327018"/>
    <w:rsid w:val="22391DC1"/>
    <w:rsid w:val="22465AD4"/>
    <w:rsid w:val="22643ECB"/>
    <w:rsid w:val="228B5471"/>
    <w:rsid w:val="22E942D2"/>
    <w:rsid w:val="22FC2D93"/>
    <w:rsid w:val="23272BE6"/>
    <w:rsid w:val="23277013"/>
    <w:rsid w:val="23582FE5"/>
    <w:rsid w:val="236A7E4F"/>
    <w:rsid w:val="23AB7A01"/>
    <w:rsid w:val="23E52FCD"/>
    <w:rsid w:val="23FE1A1C"/>
    <w:rsid w:val="23FE3D9F"/>
    <w:rsid w:val="240510B5"/>
    <w:rsid w:val="242A7A80"/>
    <w:rsid w:val="243E57FE"/>
    <w:rsid w:val="24672052"/>
    <w:rsid w:val="24863E0D"/>
    <w:rsid w:val="24957CAE"/>
    <w:rsid w:val="24AD0A54"/>
    <w:rsid w:val="24BD110A"/>
    <w:rsid w:val="24C6009C"/>
    <w:rsid w:val="24C76398"/>
    <w:rsid w:val="24D730D0"/>
    <w:rsid w:val="24DB4EEB"/>
    <w:rsid w:val="24EA64D6"/>
    <w:rsid w:val="24FE1CEC"/>
    <w:rsid w:val="2508059E"/>
    <w:rsid w:val="253318C3"/>
    <w:rsid w:val="254E1B27"/>
    <w:rsid w:val="255F419C"/>
    <w:rsid w:val="258C6773"/>
    <w:rsid w:val="25B120CC"/>
    <w:rsid w:val="2625778D"/>
    <w:rsid w:val="26492E47"/>
    <w:rsid w:val="26496052"/>
    <w:rsid w:val="268362C1"/>
    <w:rsid w:val="26A7296C"/>
    <w:rsid w:val="26BE276D"/>
    <w:rsid w:val="26D24D21"/>
    <w:rsid w:val="26FB7C6C"/>
    <w:rsid w:val="272625CE"/>
    <w:rsid w:val="273A78C4"/>
    <w:rsid w:val="275D4AB3"/>
    <w:rsid w:val="276D5C49"/>
    <w:rsid w:val="277A8510"/>
    <w:rsid w:val="278060C9"/>
    <w:rsid w:val="2790513A"/>
    <w:rsid w:val="27946117"/>
    <w:rsid w:val="27DC5FF6"/>
    <w:rsid w:val="27EB200C"/>
    <w:rsid w:val="27F51D33"/>
    <w:rsid w:val="28117085"/>
    <w:rsid w:val="28334179"/>
    <w:rsid w:val="28404DA6"/>
    <w:rsid w:val="28480A51"/>
    <w:rsid w:val="28513A23"/>
    <w:rsid w:val="28856D2C"/>
    <w:rsid w:val="28A26392"/>
    <w:rsid w:val="28F0709B"/>
    <w:rsid w:val="28F16AC5"/>
    <w:rsid w:val="291E4AA7"/>
    <w:rsid w:val="292022EB"/>
    <w:rsid w:val="292A69F3"/>
    <w:rsid w:val="292F3899"/>
    <w:rsid w:val="296D2CDD"/>
    <w:rsid w:val="298C614B"/>
    <w:rsid w:val="298E7672"/>
    <w:rsid w:val="299A710C"/>
    <w:rsid w:val="299D277B"/>
    <w:rsid w:val="29A410C4"/>
    <w:rsid w:val="29BB4649"/>
    <w:rsid w:val="29D14A36"/>
    <w:rsid w:val="29E26B8E"/>
    <w:rsid w:val="29E92FD9"/>
    <w:rsid w:val="29EB75FE"/>
    <w:rsid w:val="29EE3418"/>
    <w:rsid w:val="2A01136C"/>
    <w:rsid w:val="2A042F97"/>
    <w:rsid w:val="2A3A37F3"/>
    <w:rsid w:val="2A4B2E9E"/>
    <w:rsid w:val="2A5442CE"/>
    <w:rsid w:val="2A620575"/>
    <w:rsid w:val="2A677B6B"/>
    <w:rsid w:val="2A6966B0"/>
    <w:rsid w:val="2AB1600E"/>
    <w:rsid w:val="2AC90B72"/>
    <w:rsid w:val="2AF1395A"/>
    <w:rsid w:val="2B133107"/>
    <w:rsid w:val="2B133802"/>
    <w:rsid w:val="2B1716CE"/>
    <w:rsid w:val="2B1F4085"/>
    <w:rsid w:val="2BA70CA4"/>
    <w:rsid w:val="2BE734D6"/>
    <w:rsid w:val="2BF876D2"/>
    <w:rsid w:val="2C11317D"/>
    <w:rsid w:val="2C6546A7"/>
    <w:rsid w:val="2C946CF8"/>
    <w:rsid w:val="2CA70D23"/>
    <w:rsid w:val="2CBE3320"/>
    <w:rsid w:val="2CC16544"/>
    <w:rsid w:val="2CCA2E9C"/>
    <w:rsid w:val="2CE72C9C"/>
    <w:rsid w:val="2D083A9C"/>
    <w:rsid w:val="2D2D59AD"/>
    <w:rsid w:val="2D5D514C"/>
    <w:rsid w:val="2D662C32"/>
    <w:rsid w:val="2D6A2896"/>
    <w:rsid w:val="2D9666E1"/>
    <w:rsid w:val="2DB07BBB"/>
    <w:rsid w:val="2DDC1D54"/>
    <w:rsid w:val="2DE3610C"/>
    <w:rsid w:val="2DF44DFF"/>
    <w:rsid w:val="2E024970"/>
    <w:rsid w:val="2E0510D5"/>
    <w:rsid w:val="2E2126D4"/>
    <w:rsid w:val="2E3100F7"/>
    <w:rsid w:val="2E5124FC"/>
    <w:rsid w:val="2E833198"/>
    <w:rsid w:val="2E8B21B7"/>
    <w:rsid w:val="2EC45C61"/>
    <w:rsid w:val="2F04157B"/>
    <w:rsid w:val="2F127E5C"/>
    <w:rsid w:val="2F2568F4"/>
    <w:rsid w:val="2F5C4F50"/>
    <w:rsid w:val="2F7F6DC7"/>
    <w:rsid w:val="2FAA4CFA"/>
    <w:rsid w:val="2FAC3F20"/>
    <w:rsid w:val="2FC520EC"/>
    <w:rsid w:val="2FCD7165"/>
    <w:rsid w:val="30000949"/>
    <w:rsid w:val="300276AD"/>
    <w:rsid w:val="30140248"/>
    <w:rsid w:val="302D41B9"/>
    <w:rsid w:val="303D3154"/>
    <w:rsid w:val="306676B3"/>
    <w:rsid w:val="30782607"/>
    <w:rsid w:val="30AC00FC"/>
    <w:rsid w:val="30D029AD"/>
    <w:rsid w:val="30D7684D"/>
    <w:rsid w:val="30DD69E5"/>
    <w:rsid w:val="30E30BE0"/>
    <w:rsid w:val="30E416C2"/>
    <w:rsid w:val="30F9065E"/>
    <w:rsid w:val="311A532C"/>
    <w:rsid w:val="31202D59"/>
    <w:rsid w:val="31214D83"/>
    <w:rsid w:val="31277145"/>
    <w:rsid w:val="314A4AD6"/>
    <w:rsid w:val="317D2D79"/>
    <w:rsid w:val="31BA47FA"/>
    <w:rsid w:val="31C72C81"/>
    <w:rsid w:val="31DB79D8"/>
    <w:rsid w:val="31DF5536"/>
    <w:rsid w:val="32015893"/>
    <w:rsid w:val="3202517B"/>
    <w:rsid w:val="32580C2C"/>
    <w:rsid w:val="325E7BE3"/>
    <w:rsid w:val="32721144"/>
    <w:rsid w:val="328621F7"/>
    <w:rsid w:val="328F433C"/>
    <w:rsid w:val="32A777DC"/>
    <w:rsid w:val="32CC3D20"/>
    <w:rsid w:val="32E507B0"/>
    <w:rsid w:val="32F14310"/>
    <w:rsid w:val="32F504EA"/>
    <w:rsid w:val="331A087B"/>
    <w:rsid w:val="332710BC"/>
    <w:rsid w:val="332B3CDC"/>
    <w:rsid w:val="333F6B5C"/>
    <w:rsid w:val="334A0249"/>
    <w:rsid w:val="33550721"/>
    <w:rsid w:val="336F3A88"/>
    <w:rsid w:val="33A913D5"/>
    <w:rsid w:val="33AB2980"/>
    <w:rsid w:val="33C60BE9"/>
    <w:rsid w:val="33D07A3F"/>
    <w:rsid w:val="33D52442"/>
    <w:rsid w:val="340C11D7"/>
    <w:rsid w:val="34434999"/>
    <w:rsid w:val="34740168"/>
    <w:rsid w:val="34B411D6"/>
    <w:rsid w:val="34BC74E5"/>
    <w:rsid w:val="34D72835"/>
    <w:rsid w:val="34FB4E00"/>
    <w:rsid w:val="350A699C"/>
    <w:rsid w:val="351940BB"/>
    <w:rsid w:val="35250637"/>
    <w:rsid w:val="35374A80"/>
    <w:rsid w:val="3547045F"/>
    <w:rsid w:val="35602EE0"/>
    <w:rsid w:val="356F57FF"/>
    <w:rsid w:val="359D443D"/>
    <w:rsid w:val="35A25120"/>
    <w:rsid w:val="35AF5EAD"/>
    <w:rsid w:val="35B3464B"/>
    <w:rsid w:val="35BB6404"/>
    <w:rsid w:val="35C83966"/>
    <w:rsid w:val="35EA4DC7"/>
    <w:rsid w:val="36193A1F"/>
    <w:rsid w:val="361A6C49"/>
    <w:rsid w:val="36290ED7"/>
    <w:rsid w:val="36452BC7"/>
    <w:rsid w:val="364978A2"/>
    <w:rsid w:val="36621107"/>
    <w:rsid w:val="369505B5"/>
    <w:rsid w:val="36A55B3E"/>
    <w:rsid w:val="3719747C"/>
    <w:rsid w:val="37523D57"/>
    <w:rsid w:val="376B056A"/>
    <w:rsid w:val="376F585D"/>
    <w:rsid w:val="3788639F"/>
    <w:rsid w:val="378C1622"/>
    <w:rsid w:val="37B47CB9"/>
    <w:rsid w:val="37B66DED"/>
    <w:rsid w:val="37C55659"/>
    <w:rsid w:val="37D04971"/>
    <w:rsid w:val="37DD1845"/>
    <w:rsid w:val="38280C04"/>
    <w:rsid w:val="382943CC"/>
    <w:rsid w:val="383B2226"/>
    <w:rsid w:val="38814FB3"/>
    <w:rsid w:val="389A2B75"/>
    <w:rsid w:val="38B71C00"/>
    <w:rsid w:val="38BD094B"/>
    <w:rsid w:val="38BD10F4"/>
    <w:rsid w:val="38D76721"/>
    <w:rsid w:val="38D87A7A"/>
    <w:rsid w:val="38DF1277"/>
    <w:rsid w:val="38E15F9E"/>
    <w:rsid w:val="391D4D4A"/>
    <w:rsid w:val="39473B61"/>
    <w:rsid w:val="39477608"/>
    <w:rsid w:val="39693912"/>
    <w:rsid w:val="39775F4D"/>
    <w:rsid w:val="398C1A44"/>
    <w:rsid w:val="39B63564"/>
    <w:rsid w:val="39D119B5"/>
    <w:rsid w:val="39E9296F"/>
    <w:rsid w:val="39EE5271"/>
    <w:rsid w:val="39F72DF7"/>
    <w:rsid w:val="3A1F5FA9"/>
    <w:rsid w:val="3A390C14"/>
    <w:rsid w:val="3A4C4B8A"/>
    <w:rsid w:val="3A52763E"/>
    <w:rsid w:val="3A641B97"/>
    <w:rsid w:val="3A6C0977"/>
    <w:rsid w:val="3A6C25F3"/>
    <w:rsid w:val="3A7E7632"/>
    <w:rsid w:val="3A8040CE"/>
    <w:rsid w:val="3ABC2AC9"/>
    <w:rsid w:val="3AC12005"/>
    <w:rsid w:val="3AC41532"/>
    <w:rsid w:val="3AF57DFF"/>
    <w:rsid w:val="3B123B1D"/>
    <w:rsid w:val="3B7F2EC5"/>
    <w:rsid w:val="3B862684"/>
    <w:rsid w:val="3B8E749B"/>
    <w:rsid w:val="3BF12F9C"/>
    <w:rsid w:val="3C0B302A"/>
    <w:rsid w:val="3C0D6B52"/>
    <w:rsid w:val="3C121A96"/>
    <w:rsid w:val="3CC06C48"/>
    <w:rsid w:val="3CD92630"/>
    <w:rsid w:val="3CF25B59"/>
    <w:rsid w:val="3D3D59A7"/>
    <w:rsid w:val="3D554870"/>
    <w:rsid w:val="3D575F14"/>
    <w:rsid w:val="3D5F02BA"/>
    <w:rsid w:val="3D6B2530"/>
    <w:rsid w:val="3D960903"/>
    <w:rsid w:val="3D9B114F"/>
    <w:rsid w:val="3DBA4ED5"/>
    <w:rsid w:val="3DBF67D7"/>
    <w:rsid w:val="3DEA9598"/>
    <w:rsid w:val="3E5B4555"/>
    <w:rsid w:val="3E884487"/>
    <w:rsid w:val="3EA9756D"/>
    <w:rsid w:val="3EB82F0C"/>
    <w:rsid w:val="3F1D2FAD"/>
    <w:rsid w:val="3F2A3FDA"/>
    <w:rsid w:val="3F2B3605"/>
    <w:rsid w:val="3F2F2876"/>
    <w:rsid w:val="3F3DB615"/>
    <w:rsid w:val="3F4D7280"/>
    <w:rsid w:val="3F760C61"/>
    <w:rsid w:val="3F956790"/>
    <w:rsid w:val="3FA471DD"/>
    <w:rsid w:val="3FAB03CE"/>
    <w:rsid w:val="3FAC32FB"/>
    <w:rsid w:val="3FC67889"/>
    <w:rsid w:val="3FD60B27"/>
    <w:rsid w:val="3FE0497D"/>
    <w:rsid w:val="40047F2B"/>
    <w:rsid w:val="406A7C37"/>
    <w:rsid w:val="407C076E"/>
    <w:rsid w:val="40894FEA"/>
    <w:rsid w:val="40937851"/>
    <w:rsid w:val="40DD6131"/>
    <w:rsid w:val="40E1631E"/>
    <w:rsid w:val="41147DE7"/>
    <w:rsid w:val="41310BBC"/>
    <w:rsid w:val="417472C2"/>
    <w:rsid w:val="417C589B"/>
    <w:rsid w:val="41875AB9"/>
    <w:rsid w:val="41AA4C98"/>
    <w:rsid w:val="41E42B51"/>
    <w:rsid w:val="41E47396"/>
    <w:rsid w:val="41E513CF"/>
    <w:rsid w:val="420078D2"/>
    <w:rsid w:val="420D4B12"/>
    <w:rsid w:val="42140725"/>
    <w:rsid w:val="421F70FB"/>
    <w:rsid w:val="424E6A6A"/>
    <w:rsid w:val="4253580B"/>
    <w:rsid w:val="4269685C"/>
    <w:rsid w:val="42916995"/>
    <w:rsid w:val="429A50F4"/>
    <w:rsid w:val="429F072B"/>
    <w:rsid w:val="42B11503"/>
    <w:rsid w:val="42BB3E32"/>
    <w:rsid w:val="42E13EFB"/>
    <w:rsid w:val="42F57B43"/>
    <w:rsid w:val="4300021C"/>
    <w:rsid w:val="430A0141"/>
    <w:rsid w:val="431048A2"/>
    <w:rsid w:val="43354687"/>
    <w:rsid w:val="433E62B7"/>
    <w:rsid w:val="43413818"/>
    <w:rsid w:val="43837720"/>
    <w:rsid w:val="43937CEC"/>
    <w:rsid w:val="43A23117"/>
    <w:rsid w:val="43B02851"/>
    <w:rsid w:val="43D5709D"/>
    <w:rsid w:val="43F010BC"/>
    <w:rsid w:val="43F9615B"/>
    <w:rsid w:val="43FC61F5"/>
    <w:rsid w:val="44200E5C"/>
    <w:rsid w:val="44320C41"/>
    <w:rsid w:val="44A1408B"/>
    <w:rsid w:val="44AA7268"/>
    <w:rsid w:val="44EB37DC"/>
    <w:rsid w:val="44EC7F2C"/>
    <w:rsid w:val="44F61A5C"/>
    <w:rsid w:val="44FD6E0B"/>
    <w:rsid w:val="45204A10"/>
    <w:rsid w:val="45447162"/>
    <w:rsid w:val="454B32D2"/>
    <w:rsid w:val="45573461"/>
    <w:rsid w:val="457401D2"/>
    <w:rsid w:val="45914CF1"/>
    <w:rsid w:val="45BE4593"/>
    <w:rsid w:val="45C73FC5"/>
    <w:rsid w:val="45C86102"/>
    <w:rsid w:val="45F6A4C1"/>
    <w:rsid w:val="46116774"/>
    <w:rsid w:val="462A3E8E"/>
    <w:rsid w:val="464F005A"/>
    <w:rsid w:val="466805A3"/>
    <w:rsid w:val="46794C02"/>
    <w:rsid w:val="468B0DF1"/>
    <w:rsid w:val="46C85337"/>
    <w:rsid w:val="47146243"/>
    <w:rsid w:val="471825FE"/>
    <w:rsid w:val="47240C93"/>
    <w:rsid w:val="474C53D0"/>
    <w:rsid w:val="475B2DE3"/>
    <w:rsid w:val="476314F5"/>
    <w:rsid w:val="4767136B"/>
    <w:rsid w:val="476F5BD8"/>
    <w:rsid w:val="476F6B92"/>
    <w:rsid w:val="47B34E6F"/>
    <w:rsid w:val="47BE6D02"/>
    <w:rsid w:val="47D34BC8"/>
    <w:rsid w:val="48055F98"/>
    <w:rsid w:val="481B2449"/>
    <w:rsid w:val="48201BA0"/>
    <w:rsid w:val="48310B94"/>
    <w:rsid w:val="483D48D9"/>
    <w:rsid w:val="485F1AC8"/>
    <w:rsid w:val="48630A37"/>
    <w:rsid w:val="486D7E15"/>
    <w:rsid w:val="487701A3"/>
    <w:rsid w:val="489444DC"/>
    <w:rsid w:val="48B76F28"/>
    <w:rsid w:val="48BD009B"/>
    <w:rsid w:val="48CC33F0"/>
    <w:rsid w:val="48E07CEE"/>
    <w:rsid w:val="48FA645F"/>
    <w:rsid w:val="48FD2CFB"/>
    <w:rsid w:val="492E147C"/>
    <w:rsid w:val="492F1403"/>
    <w:rsid w:val="4933522D"/>
    <w:rsid w:val="494E5BED"/>
    <w:rsid w:val="497F2A08"/>
    <w:rsid w:val="49993110"/>
    <w:rsid w:val="49B228F5"/>
    <w:rsid w:val="4A324346"/>
    <w:rsid w:val="4A595408"/>
    <w:rsid w:val="4A6D2F2D"/>
    <w:rsid w:val="4A7C1D2B"/>
    <w:rsid w:val="4A915D23"/>
    <w:rsid w:val="4A994E90"/>
    <w:rsid w:val="4ACA04A4"/>
    <w:rsid w:val="4AD57F23"/>
    <w:rsid w:val="4AED1596"/>
    <w:rsid w:val="4AEE6BBA"/>
    <w:rsid w:val="4B057E5B"/>
    <w:rsid w:val="4B1F5704"/>
    <w:rsid w:val="4B3B2B82"/>
    <w:rsid w:val="4B8B467C"/>
    <w:rsid w:val="4BD2210A"/>
    <w:rsid w:val="4BFB14F4"/>
    <w:rsid w:val="4C182A4E"/>
    <w:rsid w:val="4C1946EF"/>
    <w:rsid w:val="4C4B453B"/>
    <w:rsid w:val="4C5A0B36"/>
    <w:rsid w:val="4C5A6039"/>
    <w:rsid w:val="4C666669"/>
    <w:rsid w:val="4C7859A1"/>
    <w:rsid w:val="4C7E3802"/>
    <w:rsid w:val="4C860BDC"/>
    <w:rsid w:val="4CC65C90"/>
    <w:rsid w:val="4CD85A52"/>
    <w:rsid w:val="4D0718E6"/>
    <w:rsid w:val="4D533669"/>
    <w:rsid w:val="4D6A4FB1"/>
    <w:rsid w:val="4D6C0F21"/>
    <w:rsid w:val="4D7670BC"/>
    <w:rsid w:val="4D791052"/>
    <w:rsid w:val="4D876471"/>
    <w:rsid w:val="4D971152"/>
    <w:rsid w:val="4DB71B04"/>
    <w:rsid w:val="4DC332C4"/>
    <w:rsid w:val="4DEA2B01"/>
    <w:rsid w:val="4DED1555"/>
    <w:rsid w:val="4E006AFF"/>
    <w:rsid w:val="4E197412"/>
    <w:rsid w:val="4E2272DA"/>
    <w:rsid w:val="4E276D92"/>
    <w:rsid w:val="4E42660F"/>
    <w:rsid w:val="4E497A91"/>
    <w:rsid w:val="4E685B64"/>
    <w:rsid w:val="4EB2108A"/>
    <w:rsid w:val="4EE24C78"/>
    <w:rsid w:val="4EE30BDC"/>
    <w:rsid w:val="4EE83382"/>
    <w:rsid w:val="4EFB3B6F"/>
    <w:rsid w:val="4F013DE4"/>
    <w:rsid w:val="4F3B237D"/>
    <w:rsid w:val="4F63385A"/>
    <w:rsid w:val="4F7D111F"/>
    <w:rsid w:val="4F877C64"/>
    <w:rsid w:val="4F8E3C4F"/>
    <w:rsid w:val="4F91183A"/>
    <w:rsid w:val="4F923A73"/>
    <w:rsid w:val="4FA21163"/>
    <w:rsid w:val="4FAF7A0B"/>
    <w:rsid w:val="4FB61C29"/>
    <w:rsid w:val="4FB70CBD"/>
    <w:rsid w:val="4FB72A18"/>
    <w:rsid w:val="4FC231AF"/>
    <w:rsid w:val="4FCB46B2"/>
    <w:rsid w:val="4FFC61B4"/>
    <w:rsid w:val="50020BD2"/>
    <w:rsid w:val="501953CF"/>
    <w:rsid w:val="501B5AF2"/>
    <w:rsid w:val="502A1EA5"/>
    <w:rsid w:val="50336CD0"/>
    <w:rsid w:val="504A779E"/>
    <w:rsid w:val="505B4755"/>
    <w:rsid w:val="506B04C7"/>
    <w:rsid w:val="50783A4C"/>
    <w:rsid w:val="50982A4E"/>
    <w:rsid w:val="50A32552"/>
    <w:rsid w:val="50C33C0D"/>
    <w:rsid w:val="50C453E0"/>
    <w:rsid w:val="50F8554E"/>
    <w:rsid w:val="511B3417"/>
    <w:rsid w:val="511E7E17"/>
    <w:rsid w:val="51321E38"/>
    <w:rsid w:val="51415252"/>
    <w:rsid w:val="51AB1FB2"/>
    <w:rsid w:val="51B51430"/>
    <w:rsid w:val="51D532F2"/>
    <w:rsid w:val="51D655C1"/>
    <w:rsid w:val="51E10673"/>
    <w:rsid w:val="5200097C"/>
    <w:rsid w:val="52051205"/>
    <w:rsid w:val="520758EE"/>
    <w:rsid w:val="520E5464"/>
    <w:rsid w:val="521A3D9B"/>
    <w:rsid w:val="521C3B9B"/>
    <w:rsid w:val="52562516"/>
    <w:rsid w:val="52583417"/>
    <w:rsid w:val="525A036E"/>
    <w:rsid w:val="52614E59"/>
    <w:rsid w:val="528932EE"/>
    <w:rsid w:val="529D3B26"/>
    <w:rsid w:val="52AF2755"/>
    <w:rsid w:val="52F33072"/>
    <w:rsid w:val="53302CAA"/>
    <w:rsid w:val="535766EE"/>
    <w:rsid w:val="5370307C"/>
    <w:rsid w:val="5386715A"/>
    <w:rsid w:val="53932308"/>
    <w:rsid w:val="53CF1161"/>
    <w:rsid w:val="53D835EF"/>
    <w:rsid w:val="53F8359B"/>
    <w:rsid w:val="54154B39"/>
    <w:rsid w:val="541967B2"/>
    <w:rsid w:val="54345897"/>
    <w:rsid w:val="54401E41"/>
    <w:rsid w:val="545063D3"/>
    <w:rsid w:val="5476171A"/>
    <w:rsid w:val="54993FAF"/>
    <w:rsid w:val="54A31387"/>
    <w:rsid w:val="54E73EB2"/>
    <w:rsid w:val="54F15D3A"/>
    <w:rsid w:val="54F428E4"/>
    <w:rsid w:val="54FA08EA"/>
    <w:rsid w:val="551029ED"/>
    <w:rsid w:val="552B6D0A"/>
    <w:rsid w:val="5532579B"/>
    <w:rsid w:val="553A1482"/>
    <w:rsid w:val="55405546"/>
    <w:rsid w:val="554D5D68"/>
    <w:rsid w:val="55535DFC"/>
    <w:rsid w:val="556D73F7"/>
    <w:rsid w:val="557D25B4"/>
    <w:rsid w:val="55B6737B"/>
    <w:rsid w:val="55CC1183"/>
    <w:rsid w:val="56220463"/>
    <w:rsid w:val="564C3058"/>
    <w:rsid w:val="5680567A"/>
    <w:rsid w:val="568D675F"/>
    <w:rsid w:val="569402BC"/>
    <w:rsid w:val="56A103AB"/>
    <w:rsid w:val="56A16461"/>
    <w:rsid w:val="56B04601"/>
    <w:rsid w:val="56B905DB"/>
    <w:rsid w:val="56FF6573"/>
    <w:rsid w:val="57044BFA"/>
    <w:rsid w:val="570910D8"/>
    <w:rsid w:val="574D665D"/>
    <w:rsid w:val="576E35F8"/>
    <w:rsid w:val="577A061B"/>
    <w:rsid w:val="57A16140"/>
    <w:rsid w:val="57A8352A"/>
    <w:rsid w:val="57C17A71"/>
    <w:rsid w:val="57C32112"/>
    <w:rsid w:val="57F07A9A"/>
    <w:rsid w:val="58030E40"/>
    <w:rsid w:val="58377797"/>
    <w:rsid w:val="584A0434"/>
    <w:rsid w:val="584D462B"/>
    <w:rsid w:val="585039A6"/>
    <w:rsid w:val="585C182D"/>
    <w:rsid w:val="58832A59"/>
    <w:rsid w:val="58A27021"/>
    <w:rsid w:val="58AE1B43"/>
    <w:rsid w:val="58DC7589"/>
    <w:rsid w:val="590E0409"/>
    <w:rsid w:val="59207767"/>
    <w:rsid w:val="592F02C4"/>
    <w:rsid w:val="59315921"/>
    <w:rsid w:val="593505A2"/>
    <w:rsid w:val="59392F0E"/>
    <w:rsid w:val="595F088A"/>
    <w:rsid w:val="596867AE"/>
    <w:rsid w:val="59781295"/>
    <w:rsid w:val="59801E7B"/>
    <w:rsid w:val="598737B1"/>
    <w:rsid w:val="598B0C93"/>
    <w:rsid w:val="599150BB"/>
    <w:rsid w:val="59961C23"/>
    <w:rsid w:val="59B83E95"/>
    <w:rsid w:val="59BE4ABB"/>
    <w:rsid w:val="59D04128"/>
    <w:rsid w:val="59D04A1F"/>
    <w:rsid w:val="59F851E6"/>
    <w:rsid w:val="5A2244A2"/>
    <w:rsid w:val="5A2731F1"/>
    <w:rsid w:val="5A2D1436"/>
    <w:rsid w:val="5A4704D9"/>
    <w:rsid w:val="5A700339"/>
    <w:rsid w:val="5A7C5C65"/>
    <w:rsid w:val="5A8B2EBE"/>
    <w:rsid w:val="5AC02ADD"/>
    <w:rsid w:val="5AC65AC4"/>
    <w:rsid w:val="5ACB1A7B"/>
    <w:rsid w:val="5ADF2B64"/>
    <w:rsid w:val="5AEC0211"/>
    <w:rsid w:val="5B03642B"/>
    <w:rsid w:val="5B27561D"/>
    <w:rsid w:val="5B7B5D98"/>
    <w:rsid w:val="5B827F0C"/>
    <w:rsid w:val="5B912724"/>
    <w:rsid w:val="5B98537E"/>
    <w:rsid w:val="5B9D0FE0"/>
    <w:rsid w:val="5BB26726"/>
    <w:rsid w:val="5BC41995"/>
    <w:rsid w:val="5BEA105C"/>
    <w:rsid w:val="5C24558D"/>
    <w:rsid w:val="5C254400"/>
    <w:rsid w:val="5C274F25"/>
    <w:rsid w:val="5C2B766E"/>
    <w:rsid w:val="5C2C5CBA"/>
    <w:rsid w:val="5C30613C"/>
    <w:rsid w:val="5C486F08"/>
    <w:rsid w:val="5C651809"/>
    <w:rsid w:val="5CA74DA9"/>
    <w:rsid w:val="5D0239B2"/>
    <w:rsid w:val="5D283089"/>
    <w:rsid w:val="5D5A39F1"/>
    <w:rsid w:val="5D695C66"/>
    <w:rsid w:val="5D884FD8"/>
    <w:rsid w:val="5D915315"/>
    <w:rsid w:val="5D9C143B"/>
    <w:rsid w:val="5DED7EE9"/>
    <w:rsid w:val="5DF721D2"/>
    <w:rsid w:val="5E0970F8"/>
    <w:rsid w:val="5E2E295B"/>
    <w:rsid w:val="5E3B5F33"/>
    <w:rsid w:val="5E4B5B1E"/>
    <w:rsid w:val="5E4F07DC"/>
    <w:rsid w:val="5E746155"/>
    <w:rsid w:val="5EAE439E"/>
    <w:rsid w:val="5EB72FD9"/>
    <w:rsid w:val="5EBF61CB"/>
    <w:rsid w:val="5ED0635B"/>
    <w:rsid w:val="5ED650E7"/>
    <w:rsid w:val="5F0556A5"/>
    <w:rsid w:val="5F346514"/>
    <w:rsid w:val="5F407312"/>
    <w:rsid w:val="5F5C6BE3"/>
    <w:rsid w:val="5F5E291D"/>
    <w:rsid w:val="5F795ED8"/>
    <w:rsid w:val="5F9C7D45"/>
    <w:rsid w:val="5FCD4C77"/>
    <w:rsid w:val="5FDC7811"/>
    <w:rsid w:val="600F6368"/>
    <w:rsid w:val="602554A4"/>
    <w:rsid w:val="6025786A"/>
    <w:rsid w:val="602A3D9E"/>
    <w:rsid w:val="60316B4B"/>
    <w:rsid w:val="60343956"/>
    <w:rsid w:val="60473F58"/>
    <w:rsid w:val="607930E3"/>
    <w:rsid w:val="6090450E"/>
    <w:rsid w:val="60985806"/>
    <w:rsid w:val="609A54D2"/>
    <w:rsid w:val="609A66BA"/>
    <w:rsid w:val="60BA5B08"/>
    <w:rsid w:val="60C43E42"/>
    <w:rsid w:val="60F07031"/>
    <w:rsid w:val="61040CF5"/>
    <w:rsid w:val="611138C4"/>
    <w:rsid w:val="61325CC0"/>
    <w:rsid w:val="614D3E5A"/>
    <w:rsid w:val="617B5D5C"/>
    <w:rsid w:val="618952C5"/>
    <w:rsid w:val="61AA3703"/>
    <w:rsid w:val="61C15F36"/>
    <w:rsid w:val="61D924D5"/>
    <w:rsid w:val="61DC06E4"/>
    <w:rsid w:val="61FF51D7"/>
    <w:rsid w:val="6200468F"/>
    <w:rsid w:val="62095B46"/>
    <w:rsid w:val="62262BC5"/>
    <w:rsid w:val="622746DB"/>
    <w:rsid w:val="62335AAB"/>
    <w:rsid w:val="62443FA5"/>
    <w:rsid w:val="62774777"/>
    <w:rsid w:val="627C747E"/>
    <w:rsid w:val="6289567D"/>
    <w:rsid w:val="62B97750"/>
    <w:rsid w:val="62F467C7"/>
    <w:rsid w:val="6310240F"/>
    <w:rsid w:val="632C187C"/>
    <w:rsid w:val="63482F25"/>
    <w:rsid w:val="636D5D54"/>
    <w:rsid w:val="637475F1"/>
    <w:rsid w:val="637F44C4"/>
    <w:rsid w:val="639C2195"/>
    <w:rsid w:val="63AB2175"/>
    <w:rsid w:val="63C57F7E"/>
    <w:rsid w:val="63C74C17"/>
    <w:rsid w:val="63D32185"/>
    <w:rsid w:val="63DE1A6C"/>
    <w:rsid w:val="63E33E9F"/>
    <w:rsid w:val="63E42F22"/>
    <w:rsid w:val="63EC0620"/>
    <w:rsid w:val="63F00F31"/>
    <w:rsid w:val="64025E15"/>
    <w:rsid w:val="64302FF1"/>
    <w:rsid w:val="64893A44"/>
    <w:rsid w:val="64BB2EEF"/>
    <w:rsid w:val="64FE478A"/>
    <w:rsid w:val="650529B8"/>
    <w:rsid w:val="65074BDE"/>
    <w:rsid w:val="650F3034"/>
    <w:rsid w:val="651E6BDA"/>
    <w:rsid w:val="65506ECD"/>
    <w:rsid w:val="65B33B6D"/>
    <w:rsid w:val="65C0156C"/>
    <w:rsid w:val="65C70C9B"/>
    <w:rsid w:val="65CB25C1"/>
    <w:rsid w:val="65E4B1C5"/>
    <w:rsid w:val="65FD2FBD"/>
    <w:rsid w:val="660F2051"/>
    <w:rsid w:val="662758B0"/>
    <w:rsid w:val="66280FB8"/>
    <w:rsid w:val="665D3009"/>
    <w:rsid w:val="666E3A09"/>
    <w:rsid w:val="66840534"/>
    <w:rsid w:val="66A96271"/>
    <w:rsid w:val="66B1528F"/>
    <w:rsid w:val="66D50EC0"/>
    <w:rsid w:val="66E32558"/>
    <w:rsid w:val="66E457D0"/>
    <w:rsid w:val="66EB14B1"/>
    <w:rsid w:val="66FB459C"/>
    <w:rsid w:val="670C5884"/>
    <w:rsid w:val="67186025"/>
    <w:rsid w:val="671958AB"/>
    <w:rsid w:val="671975BC"/>
    <w:rsid w:val="672453BC"/>
    <w:rsid w:val="672F10EE"/>
    <w:rsid w:val="673C5C79"/>
    <w:rsid w:val="67614D6F"/>
    <w:rsid w:val="676D612B"/>
    <w:rsid w:val="678C134E"/>
    <w:rsid w:val="67900070"/>
    <w:rsid w:val="67974985"/>
    <w:rsid w:val="67BD31C8"/>
    <w:rsid w:val="67DB59C5"/>
    <w:rsid w:val="67E67464"/>
    <w:rsid w:val="680F6798"/>
    <w:rsid w:val="682E6664"/>
    <w:rsid w:val="682F6272"/>
    <w:rsid w:val="684E025F"/>
    <w:rsid w:val="686561F3"/>
    <w:rsid w:val="68667F0F"/>
    <w:rsid w:val="6880338E"/>
    <w:rsid w:val="6893466F"/>
    <w:rsid w:val="689729A8"/>
    <w:rsid w:val="68BC74E5"/>
    <w:rsid w:val="68D81C6B"/>
    <w:rsid w:val="68ED5113"/>
    <w:rsid w:val="69132EFA"/>
    <w:rsid w:val="692149B3"/>
    <w:rsid w:val="6922047C"/>
    <w:rsid w:val="69486784"/>
    <w:rsid w:val="69915E49"/>
    <w:rsid w:val="69DC4EEF"/>
    <w:rsid w:val="69E90B44"/>
    <w:rsid w:val="69EE7374"/>
    <w:rsid w:val="69F66EAE"/>
    <w:rsid w:val="6A0271EA"/>
    <w:rsid w:val="6A2203FD"/>
    <w:rsid w:val="6A333F88"/>
    <w:rsid w:val="6A471BE3"/>
    <w:rsid w:val="6A4D14DD"/>
    <w:rsid w:val="6A541A8B"/>
    <w:rsid w:val="6A5E29AC"/>
    <w:rsid w:val="6A6A165A"/>
    <w:rsid w:val="6AAC7C60"/>
    <w:rsid w:val="6AB77922"/>
    <w:rsid w:val="6AC664D6"/>
    <w:rsid w:val="6AEA2833"/>
    <w:rsid w:val="6AF4148C"/>
    <w:rsid w:val="6AFE4F17"/>
    <w:rsid w:val="6B430224"/>
    <w:rsid w:val="6B806D34"/>
    <w:rsid w:val="6B8D5CB0"/>
    <w:rsid w:val="6BAE64BE"/>
    <w:rsid w:val="6BAF6990"/>
    <w:rsid w:val="6BCB3A0A"/>
    <w:rsid w:val="6BD01B90"/>
    <w:rsid w:val="6BED3FEC"/>
    <w:rsid w:val="6C206ED5"/>
    <w:rsid w:val="6C231BF3"/>
    <w:rsid w:val="6C414AE5"/>
    <w:rsid w:val="6C4F3138"/>
    <w:rsid w:val="6C891725"/>
    <w:rsid w:val="6CF37B95"/>
    <w:rsid w:val="6D382917"/>
    <w:rsid w:val="6D3A3595"/>
    <w:rsid w:val="6DA3036C"/>
    <w:rsid w:val="6DB52807"/>
    <w:rsid w:val="6DB74A4F"/>
    <w:rsid w:val="6DC9105A"/>
    <w:rsid w:val="6DCF3731"/>
    <w:rsid w:val="6DE620D3"/>
    <w:rsid w:val="6E354B35"/>
    <w:rsid w:val="6E450B4F"/>
    <w:rsid w:val="6E4F4372"/>
    <w:rsid w:val="6E830E22"/>
    <w:rsid w:val="6E8A0450"/>
    <w:rsid w:val="6E8F688C"/>
    <w:rsid w:val="6E8F768D"/>
    <w:rsid w:val="6E9023F0"/>
    <w:rsid w:val="6EA50D16"/>
    <w:rsid w:val="6EAF265B"/>
    <w:rsid w:val="6EB64598"/>
    <w:rsid w:val="6EDB2465"/>
    <w:rsid w:val="6EDB41D8"/>
    <w:rsid w:val="6EF51D74"/>
    <w:rsid w:val="6F0676DB"/>
    <w:rsid w:val="6F1F7097"/>
    <w:rsid w:val="6F240E9B"/>
    <w:rsid w:val="6F251010"/>
    <w:rsid w:val="6F265009"/>
    <w:rsid w:val="6F332352"/>
    <w:rsid w:val="6F34254C"/>
    <w:rsid w:val="6F4F144A"/>
    <w:rsid w:val="6F6F11B5"/>
    <w:rsid w:val="6F7654E9"/>
    <w:rsid w:val="6F8658D0"/>
    <w:rsid w:val="6FA032F5"/>
    <w:rsid w:val="6FCF30C2"/>
    <w:rsid w:val="6FDA72C7"/>
    <w:rsid w:val="70072E7F"/>
    <w:rsid w:val="70080C52"/>
    <w:rsid w:val="70454201"/>
    <w:rsid w:val="70545BA6"/>
    <w:rsid w:val="7071519F"/>
    <w:rsid w:val="70755857"/>
    <w:rsid w:val="707C1F6A"/>
    <w:rsid w:val="70862F45"/>
    <w:rsid w:val="708A008A"/>
    <w:rsid w:val="709F103E"/>
    <w:rsid w:val="70B069B0"/>
    <w:rsid w:val="70DA00E3"/>
    <w:rsid w:val="70EB5886"/>
    <w:rsid w:val="71313867"/>
    <w:rsid w:val="71395C15"/>
    <w:rsid w:val="715D1C2A"/>
    <w:rsid w:val="718733AF"/>
    <w:rsid w:val="718D0DC7"/>
    <w:rsid w:val="718E044C"/>
    <w:rsid w:val="71B65BF5"/>
    <w:rsid w:val="71C456E1"/>
    <w:rsid w:val="71C793E6"/>
    <w:rsid w:val="71D75792"/>
    <w:rsid w:val="71D80F33"/>
    <w:rsid w:val="71DE2D69"/>
    <w:rsid w:val="71E22F31"/>
    <w:rsid w:val="71EA7F5F"/>
    <w:rsid w:val="721F5F02"/>
    <w:rsid w:val="7241390C"/>
    <w:rsid w:val="72476893"/>
    <w:rsid w:val="724B75D1"/>
    <w:rsid w:val="72646899"/>
    <w:rsid w:val="72657D5B"/>
    <w:rsid w:val="726F0085"/>
    <w:rsid w:val="727A10C3"/>
    <w:rsid w:val="728464F8"/>
    <w:rsid w:val="728E1573"/>
    <w:rsid w:val="729605D2"/>
    <w:rsid w:val="72A86780"/>
    <w:rsid w:val="72BD38E7"/>
    <w:rsid w:val="72E477BB"/>
    <w:rsid w:val="73051E5E"/>
    <w:rsid w:val="731C0BFD"/>
    <w:rsid w:val="732857F3"/>
    <w:rsid w:val="732F0741"/>
    <w:rsid w:val="733D0312"/>
    <w:rsid w:val="734A190B"/>
    <w:rsid w:val="734C0F62"/>
    <w:rsid w:val="73564555"/>
    <w:rsid w:val="7358297F"/>
    <w:rsid w:val="735C74F0"/>
    <w:rsid w:val="737A2F98"/>
    <w:rsid w:val="737E7DD6"/>
    <w:rsid w:val="73847B2E"/>
    <w:rsid w:val="739D62AF"/>
    <w:rsid w:val="73C13552"/>
    <w:rsid w:val="73C249E3"/>
    <w:rsid w:val="73C379A7"/>
    <w:rsid w:val="73CD470A"/>
    <w:rsid w:val="73CF70AC"/>
    <w:rsid w:val="73D2350F"/>
    <w:rsid w:val="73D96842"/>
    <w:rsid w:val="740C1B79"/>
    <w:rsid w:val="74161AF0"/>
    <w:rsid w:val="74633CCB"/>
    <w:rsid w:val="749B35C8"/>
    <w:rsid w:val="749E21C5"/>
    <w:rsid w:val="749F31F8"/>
    <w:rsid w:val="74C16640"/>
    <w:rsid w:val="74D8038A"/>
    <w:rsid w:val="74DD3805"/>
    <w:rsid w:val="74EC45FF"/>
    <w:rsid w:val="750A49CB"/>
    <w:rsid w:val="753A01C7"/>
    <w:rsid w:val="754A3647"/>
    <w:rsid w:val="757D6154"/>
    <w:rsid w:val="759279C7"/>
    <w:rsid w:val="75974F21"/>
    <w:rsid w:val="75AC7C3E"/>
    <w:rsid w:val="75CC593F"/>
    <w:rsid w:val="75D92385"/>
    <w:rsid w:val="760D3F92"/>
    <w:rsid w:val="76223E5A"/>
    <w:rsid w:val="762F12C9"/>
    <w:rsid w:val="764C4B26"/>
    <w:rsid w:val="76672EB0"/>
    <w:rsid w:val="7675094C"/>
    <w:rsid w:val="768C42EB"/>
    <w:rsid w:val="76AD55B0"/>
    <w:rsid w:val="76C327FA"/>
    <w:rsid w:val="76DC4991"/>
    <w:rsid w:val="76E83F59"/>
    <w:rsid w:val="76EE28B0"/>
    <w:rsid w:val="774153F4"/>
    <w:rsid w:val="77535EA9"/>
    <w:rsid w:val="776101F3"/>
    <w:rsid w:val="77684472"/>
    <w:rsid w:val="77826384"/>
    <w:rsid w:val="778A2ADF"/>
    <w:rsid w:val="77A13072"/>
    <w:rsid w:val="77AE7A25"/>
    <w:rsid w:val="77B623EB"/>
    <w:rsid w:val="782E5C21"/>
    <w:rsid w:val="78565C5F"/>
    <w:rsid w:val="787C1F2B"/>
    <w:rsid w:val="788C39AB"/>
    <w:rsid w:val="78A35B07"/>
    <w:rsid w:val="78A67DE5"/>
    <w:rsid w:val="78A833F8"/>
    <w:rsid w:val="78E23053"/>
    <w:rsid w:val="78EE6ABF"/>
    <w:rsid w:val="7904670A"/>
    <w:rsid w:val="79123C76"/>
    <w:rsid w:val="79603529"/>
    <w:rsid w:val="796521AA"/>
    <w:rsid w:val="797A12A5"/>
    <w:rsid w:val="798B005C"/>
    <w:rsid w:val="799D7560"/>
    <w:rsid w:val="79A74735"/>
    <w:rsid w:val="79DE5947"/>
    <w:rsid w:val="7A3E276A"/>
    <w:rsid w:val="7A435CF8"/>
    <w:rsid w:val="7A62342C"/>
    <w:rsid w:val="7A6F5578"/>
    <w:rsid w:val="7AA0012F"/>
    <w:rsid w:val="7AD86586"/>
    <w:rsid w:val="7ADB3D64"/>
    <w:rsid w:val="7AE731BB"/>
    <w:rsid w:val="7AFB072C"/>
    <w:rsid w:val="7B0E7D7E"/>
    <w:rsid w:val="7B1F4414"/>
    <w:rsid w:val="7B314145"/>
    <w:rsid w:val="7B423BA6"/>
    <w:rsid w:val="7B8A691F"/>
    <w:rsid w:val="7BB323A4"/>
    <w:rsid w:val="7BD06370"/>
    <w:rsid w:val="7BD26556"/>
    <w:rsid w:val="7BD90751"/>
    <w:rsid w:val="7C1E5525"/>
    <w:rsid w:val="7C340DA5"/>
    <w:rsid w:val="7C611591"/>
    <w:rsid w:val="7C617E90"/>
    <w:rsid w:val="7C691945"/>
    <w:rsid w:val="7C7B54BA"/>
    <w:rsid w:val="7CA13EF5"/>
    <w:rsid w:val="7CA370CA"/>
    <w:rsid w:val="7CDB7433"/>
    <w:rsid w:val="7CF90BCC"/>
    <w:rsid w:val="7CFE0C90"/>
    <w:rsid w:val="7D004D33"/>
    <w:rsid w:val="7D093735"/>
    <w:rsid w:val="7D0B35A9"/>
    <w:rsid w:val="7D20753B"/>
    <w:rsid w:val="7D324A80"/>
    <w:rsid w:val="7D387AF0"/>
    <w:rsid w:val="7D495DF8"/>
    <w:rsid w:val="7D631C31"/>
    <w:rsid w:val="7D745FC2"/>
    <w:rsid w:val="7D760658"/>
    <w:rsid w:val="7D93250C"/>
    <w:rsid w:val="7DAC46E3"/>
    <w:rsid w:val="7DB43F61"/>
    <w:rsid w:val="7DBFD4DB"/>
    <w:rsid w:val="7DCC1471"/>
    <w:rsid w:val="7DCD33A9"/>
    <w:rsid w:val="7DEA575C"/>
    <w:rsid w:val="7E017A0E"/>
    <w:rsid w:val="7E1E72DD"/>
    <w:rsid w:val="7E246BF7"/>
    <w:rsid w:val="7E290A6E"/>
    <w:rsid w:val="7E431FC4"/>
    <w:rsid w:val="7E494870"/>
    <w:rsid w:val="7E4B0D7C"/>
    <w:rsid w:val="7E4F4F34"/>
    <w:rsid w:val="7E725D58"/>
    <w:rsid w:val="7E971AC8"/>
    <w:rsid w:val="7EAA079E"/>
    <w:rsid w:val="7ECE0D9B"/>
    <w:rsid w:val="7ED91384"/>
    <w:rsid w:val="7EDD793D"/>
    <w:rsid w:val="7EE42E4B"/>
    <w:rsid w:val="7EF24AC5"/>
    <w:rsid w:val="7F4230B9"/>
    <w:rsid w:val="7F492CC2"/>
    <w:rsid w:val="7F530517"/>
    <w:rsid w:val="7F653DC4"/>
    <w:rsid w:val="7F754F75"/>
    <w:rsid w:val="7FBF33FA"/>
    <w:rsid w:val="7FD16873"/>
    <w:rsid w:val="7FDA184F"/>
    <w:rsid w:val="7FDFAA44"/>
    <w:rsid w:val="7FF16F6D"/>
    <w:rsid w:val="7FF85FA3"/>
    <w:rsid w:val="9AF69C77"/>
    <w:rsid w:val="B0FAA1DA"/>
    <w:rsid w:val="B37F1048"/>
    <w:rsid w:val="BEC73DFC"/>
    <w:rsid w:val="BF7EC544"/>
    <w:rsid w:val="BF7F0857"/>
    <w:rsid w:val="BFB93805"/>
    <w:rsid w:val="CFFA4EFC"/>
    <w:rsid w:val="DABBA306"/>
    <w:rsid w:val="DDF7FE8F"/>
    <w:rsid w:val="DFF510B0"/>
    <w:rsid w:val="ED9295D7"/>
    <w:rsid w:val="EE2D565F"/>
    <w:rsid w:val="EEFC420F"/>
    <w:rsid w:val="F0ED54B7"/>
    <w:rsid w:val="F3CBF27C"/>
    <w:rsid w:val="FDFD60EF"/>
    <w:rsid w:val="FE67F141"/>
    <w:rsid w:val="FFAEF9EC"/>
    <w:rsid w:val="FFDF10B1"/>
    <w:rsid w:val="FFEAC162"/>
    <w:rsid w:val="FFFF177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4">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5">
    <w:name w:val="heading 3"/>
    <w:basedOn w:val="1"/>
    <w:next w:val="1"/>
    <w:qFormat/>
    <w:uiPriority w:val="0"/>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character" w:default="1" w:styleId="13">
    <w:name w:val="Default Paragraph Font"/>
    <w:qFormat/>
    <w:uiPriority w:val="0"/>
    <w:rPr>
      <w:rFonts w:ascii="Times New Roman" w:hAnsi="Times New Roman" w:eastAsia="宋体" w:cs="Times New Roman"/>
    </w:rPr>
  </w:style>
  <w:style w:type="table" w:default="1" w:styleId="11">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6">
    <w:name w:val="annotation text"/>
    <w:basedOn w:val="1"/>
    <w:unhideWhenUsed/>
    <w:qFormat/>
    <w:uiPriority w:val="99"/>
    <w:pPr>
      <w:jc w:val="left"/>
    </w:pPr>
  </w:style>
  <w:style w:type="paragraph" w:styleId="7">
    <w:name w:val="Body Text"/>
    <w:basedOn w:val="1"/>
    <w:qFormat/>
    <w:uiPriority w:val="1"/>
    <w:rPr>
      <w:sz w:val="32"/>
      <w:szCs w:val="32"/>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rPr>
  </w:style>
  <w:style w:type="paragraph" w:styleId="9">
    <w:name w:val="footnote text"/>
    <w:basedOn w:val="1"/>
    <w:unhideWhenUsed/>
    <w:qFormat/>
    <w:uiPriority w:val="99"/>
    <w:pPr>
      <w:snapToGrid w:val="0"/>
    </w:pPr>
    <w:rPr>
      <w:sz w:val="18"/>
      <w:szCs w:val="18"/>
    </w:rPr>
  </w:style>
  <w:style w:type="paragraph" w:styleId="10">
    <w:name w:val="Normal (Web)"/>
    <w:basedOn w:val="1"/>
    <w:qFormat/>
    <w:uiPriority w:val="0"/>
    <w:pPr>
      <w:spacing w:before="100" w:beforeAutospacing="1" w:after="100" w:afterAutospacing="1"/>
      <w:ind w:left="0" w:right="0"/>
      <w:jc w:val="left"/>
    </w:pPr>
    <w:rPr>
      <w:rFonts w:ascii="Times New Roman" w:hAnsi="Times New Roman" w:eastAsia="宋体" w:cs="Times New Roman"/>
      <w:kern w:val="0"/>
      <w:sz w:val="24"/>
      <w:lang w:val="en-US" w:eastAsia="zh-CN" w:bidi="ar"/>
    </w:rPr>
  </w:style>
  <w:style w:type="table" w:styleId="12">
    <w:name w:val="Table Grid"/>
    <w:basedOn w:val="1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rFonts w:ascii="Times New Roman" w:hAnsi="Times New Roman" w:eastAsia="宋体" w:cs="Times New Roman"/>
      <w:b/>
    </w:rPr>
  </w:style>
  <w:style w:type="character" w:styleId="15">
    <w:name w:val="FollowedHyperlink"/>
    <w:basedOn w:val="13"/>
    <w:qFormat/>
    <w:uiPriority w:val="0"/>
    <w:rPr>
      <w:rFonts w:ascii="Times New Roman" w:hAnsi="Times New Roman" w:eastAsia="宋体" w:cs="Times New Roman"/>
      <w:color w:val="000000"/>
      <w:u w:val="none"/>
    </w:rPr>
  </w:style>
  <w:style w:type="character" w:styleId="16">
    <w:name w:val="Hyperlink"/>
    <w:basedOn w:val="13"/>
    <w:qFormat/>
    <w:uiPriority w:val="0"/>
    <w:rPr>
      <w:rFonts w:ascii="Times New Roman" w:hAnsi="Times New Roman" w:eastAsia="宋体" w:cs="Times New Roman"/>
      <w:color w:val="000000"/>
      <w:u w:val="none"/>
    </w:rPr>
  </w:style>
  <w:style w:type="character" w:styleId="17">
    <w:name w:val="footnote reference"/>
    <w:basedOn w:val="13"/>
    <w:unhideWhenUsed/>
    <w:qFormat/>
    <w:uiPriority w:val="99"/>
    <w:rPr>
      <w:vertAlign w:val="superscript"/>
    </w:rPr>
  </w:style>
  <w:style w:type="character" w:customStyle="1" w:styleId="18">
    <w:name w:val="NormalCharacter"/>
    <w:qFormat/>
    <w:uiPriority w:val="0"/>
    <w:rPr>
      <w:rFonts w:ascii="Calibri" w:hAnsi="Calibri" w:eastAsia="宋体" w:cs="Times New Roman"/>
      <w:kern w:val="2"/>
      <w:sz w:val="21"/>
      <w:szCs w:val="24"/>
      <w:lang w:val="en-US" w:eastAsia="zh-CN" w:bidi="ar-SA"/>
    </w:rPr>
  </w:style>
  <w:style w:type="paragraph" w:customStyle="1" w:styleId="19">
    <w:name w:val="正文-公1"/>
    <w:basedOn w:val="1"/>
    <w:next w:val="1"/>
    <w:qFormat/>
    <w:uiPriority w:val="0"/>
    <w:pPr>
      <w:ind w:firstLine="200" w:firstLineChars="200"/>
      <w:jc w:val="left"/>
    </w:pPr>
    <w:rPr>
      <w:rFonts w:eastAsia="仿宋_GB2312"/>
    </w:rPr>
  </w:style>
  <w:style w:type="paragraph" w:customStyle="1" w:styleId="20">
    <w:name w:val="p16"/>
    <w:basedOn w:val="1"/>
    <w:qFormat/>
    <w:uiPriority w:val="0"/>
    <w:pPr>
      <w:widowControl/>
    </w:pPr>
    <w:rPr>
      <w:rFonts w:ascii="Times New Roman" w:hAnsi="Times New Roman" w:eastAsia="宋体" w:cs="Times New Roman"/>
      <w:kern w:val="0"/>
      <w:szCs w:val="21"/>
    </w:rPr>
  </w:style>
  <w:style w:type="paragraph" w:customStyle="1" w:styleId="21">
    <w:name w:val="样式3"/>
    <w:basedOn w:val="1"/>
    <w:qFormat/>
    <w:uiPriority w:val="0"/>
    <w:rPr>
      <w:rFonts w:ascii="Times New Roman" w:hAnsi="Times New Roman" w:eastAsia="宋体" w:cs="Times New Roman"/>
    </w:rPr>
  </w:style>
  <w:style w:type="paragraph" w:customStyle="1" w:styleId="22">
    <w:name w:val="样式4"/>
    <w:basedOn w:val="1"/>
    <w:qFormat/>
    <w:uiPriority w:val="0"/>
    <w:rPr>
      <w:rFonts w:ascii="Times New Roman" w:hAnsi="Times New Roman" w:eastAsia="宋体" w:cs="Times New Roman"/>
    </w:rPr>
  </w:style>
  <w:style w:type="paragraph" w:customStyle="1" w:styleId="23">
    <w:name w:val="样式2"/>
    <w:basedOn w:val="1"/>
    <w:qFormat/>
    <w:uiPriority w:val="0"/>
    <w:rPr>
      <w:rFonts w:ascii="Times New Roman" w:hAnsi="Times New Roman" w:eastAsia="宋体" w:cs="Times New Roman"/>
    </w:rPr>
  </w:style>
  <w:style w:type="character" w:customStyle="1" w:styleId="24">
    <w:name w:val="15"/>
    <w:basedOn w:val="13"/>
    <w:qFormat/>
    <w:uiPriority w:val="0"/>
    <w:rPr>
      <w:rFonts w:hint="default"/>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563</Words>
  <Characters>579</Characters>
  <Lines>37</Lines>
  <Paragraphs>10</Paragraphs>
  <TotalTime>0</TotalTime>
  <ScaleCrop>false</ScaleCrop>
  <LinksUpToDate>false</LinksUpToDate>
  <CharactersWithSpaces>579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2014-11-04T20:08:00Z</dcterms:created>
  <dc:creator>lx</dc:creator>
  <cp:lastModifiedBy>广来</cp:lastModifiedBy>
  <cp:lastPrinted>2026-02-26T01:08:00Z</cp:lastPrinted>
  <dcterms:modified xsi:type="dcterms:W3CDTF">2026-02-26T01:35:45Z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15C126B6EE3B4A8698BDEAC50E403725_13</vt:lpwstr>
  </property>
  <property fmtid="{D5CDD505-2E9C-101B-9397-08002B2CF9AE}" pid="4" name="KSOTemplateDocerSaveRecord">
    <vt:lpwstr>eyJoZGlkIjoiMTY3MzY4ZjZlYjMzOTllMzU0NGNkNmY2N2VhMDQ5NDkiLCJ1c2VySWQiOiIzNTAwNTI1NDgifQ==</vt:lpwstr>
  </property>
</Properties>
</file>