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3BC44">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抚顺顺城辽宁鑫合建筑装饰装修工程</w:t>
      </w:r>
    </w:p>
    <w:p w14:paraId="6D3F303D">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有限公司“7·1”一般高处坠落</w:t>
      </w:r>
    </w:p>
    <w:p w14:paraId="39D4D20E">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b/>
          <w:bCs w:val="0"/>
          <w:kern w:val="0"/>
          <w:sz w:val="44"/>
          <w:szCs w:val="44"/>
        </w:rPr>
      </w:pPr>
      <w:r>
        <w:rPr>
          <w:rFonts w:hint="eastAsia" w:ascii="宋体" w:hAnsi="宋体" w:eastAsia="宋体" w:cs="宋体"/>
          <w:b/>
          <w:bCs w:val="0"/>
          <w:sz w:val="44"/>
          <w:szCs w:val="44"/>
          <w:lang w:val="en-US" w:eastAsia="zh-CN"/>
        </w:rPr>
        <w:t>事故调查报告</w:t>
      </w:r>
    </w:p>
    <w:p w14:paraId="1FFF757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630" w:lineRule="atLeast"/>
        <w:ind w:right="0" w:firstLine="640" w:firstLineChars="200"/>
        <w:jc w:val="both"/>
        <w:textAlignment w:val="auto"/>
        <w:rPr>
          <w:rFonts w:hint="eastAsia" w:ascii="仿宋" w:hAnsi="仿宋" w:eastAsia="仿宋" w:cs="仿宋"/>
          <w:b w:val="0"/>
          <w:bCs w:val="0"/>
          <w:kern w:val="2"/>
          <w:sz w:val="32"/>
          <w:szCs w:val="32"/>
          <w:lang w:val="en-US" w:eastAsia="zh-CN" w:bidi="ar-SA"/>
        </w:rPr>
      </w:pPr>
    </w:p>
    <w:p w14:paraId="1F423E04">
      <w:pPr>
        <w:pStyle w:val="9"/>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60" w:lineRule="exact"/>
        <w:ind w:left="0" w:firstLine="640" w:firstLineChars="200"/>
        <w:jc w:val="both"/>
        <w:textAlignment w:val="auto"/>
        <w:rPr>
          <w:rFonts w:hint="eastAsia" w:ascii="仿宋_GB2312" w:hAnsi="仿宋" w:eastAsia="仿宋_GB2312" w:cs="Times New Roman"/>
          <w:b w:val="0"/>
          <w:bCs w:val="0"/>
          <w:color w:val="000000"/>
          <w:kern w:val="2"/>
          <w:sz w:val="32"/>
          <w:szCs w:val="32"/>
          <w:lang w:val="en-US" w:eastAsia="zh-CN" w:bidi="ar-SA"/>
        </w:rPr>
      </w:pPr>
      <w:r>
        <w:rPr>
          <w:rFonts w:hint="eastAsia" w:ascii="仿宋_GB2312" w:hAnsi="仿宋" w:eastAsia="仿宋_GB2312" w:cs="Times New Roman"/>
          <w:b w:val="0"/>
          <w:bCs w:val="0"/>
          <w:color w:val="000000"/>
          <w:kern w:val="2"/>
          <w:sz w:val="32"/>
          <w:szCs w:val="32"/>
          <w:lang w:val="en-US" w:eastAsia="zh-CN" w:bidi="ar-SA"/>
        </w:rPr>
        <w:t>2025年7月1日10时许，在位于抚顺市顺城区新华大街的北站南广场西侧地下通道玻璃房上方，辽宁鑫合建筑装饰装修工程有限公司雇佣的1名作业人员在作业过程中发生1起高处坠落事故，造成1人重伤。</w:t>
      </w:r>
    </w:p>
    <w:p w14:paraId="1135519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right="0" w:firstLine="640" w:firstLineChars="200"/>
        <w:jc w:val="both"/>
        <w:textAlignment w:val="auto"/>
        <w:rPr>
          <w:rFonts w:hint="eastAsia" w:ascii="仿宋_GB2312" w:hAnsi="仿宋" w:eastAsia="仿宋_GB2312" w:cs="Times New Roman"/>
          <w:b w:val="0"/>
          <w:bCs w:val="0"/>
          <w:color w:val="000000"/>
          <w:kern w:val="2"/>
          <w:sz w:val="32"/>
          <w:szCs w:val="32"/>
          <w:lang w:val="en-US" w:eastAsia="zh-CN" w:bidi="ar-SA"/>
        </w:rPr>
      </w:pPr>
      <w:r>
        <w:rPr>
          <w:rFonts w:hint="eastAsia" w:ascii="仿宋_GB2312" w:hAnsi="仿宋" w:eastAsia="仿宋_GB2312" w:cs="Times New Roman"/>
          <w:b w:val="0"/>
          <w:bCs w:val="0"/>
          <w:color w:val="000000"/>
          <w:kern w:val="2"/>
          <w:sz w:val="32"/>
          <w:szCs w:val="32"/>
          <w:lang w:val="en-US" w:eastAsia="zh-CN" w:bidi="ar-SA"/>
        </w:rPr>
        <w:t>2025年11月10日，市应急局接到受伤人员孙洪伟举报，</w:t>
      </w:r>
      <w:r>
        <w:rPr>
          <w:rFonts w:hint="eastAsia" w:ascii="仿宋" w:hAnsi="仿宋" w:eastAsia="仿宋" w:cs="仿宋"/>
          <w:b w:val="0"/>
          <w:bCs w:val="0"/>
          <w:sz w:val="32"/>
          <w:szCs w:val="32"/>
          <w:highlight w:val="none"/>
          <w:lang w:eastAsia="zh-CN"/>
        </w:rPr>
        <w:t>要求对受伤事故调查处理，</w:t>
      </w:r>
      <w:r>
        <w:rPr>
          <w:rFonts w:hint="eastAsia" w:ascii="仿宋_GB2312" w:hAnsi="仿宋" w:eastAsia="仿宋_GB2312" w:cs="Times New Roman"/>
          <w:b w:val="0"/>
          <w:bCs w:val="0"/>
          <w:color w:val="000000"/>
          <w:kern w:val="2"/>
          <w:sz w:val="32"/>
          <w:szCs w:val="32"/>
          <w:lang w:val="en-US" w:eastAsia="zh-CN" w:bidi="ar-SA"/>
        </w:rPr>
        <w:t>市应急局立即将该举报事故交办至</w:t>
      </w:r>
      <w:r>
        <w:rPr>
          <w:rFonts w:hint="eastAsia" w:ascii="仿宋_GB2312" w:hAnsi="仿宋_GB2312" w:eastAsia="仿宋_GB2312" w:cs="仿宋_GB2312"/>
          <w:b w:val="0"/>
          <w:bCs w:val="0"/>
          <w:sz w:val="32"/>
          <w:szCs w:val="32"/>
          <w:u w:val="none"/>
          <w:lang w:val="en-US" w:eastAsia="zh-CN"/>
        </w:rPr>
        <w:t>该事故辖区</w:t>
      </w:r>
      <w:r>
        <w:rPr>
          <w:rFonts w:hint="eastAsia" w:ascii="仿宋_GB2312" w:hAnsi="仿宋" w:eastAsia="仿宋_GB2312" w:cs="Times New Roman"/>
          <w:b w:val="0"/>
          <w:bCs w:val="0"/>
          <w:color w:val="000000"/>
          <w:kern w:val="2"/>
          <w:sz w:val="32"/>
          <w:szCs w:val="32"/>
          <w:lang w:val="en-US" w:eastAsia="zh-CN" w:bidi="ar-SA"/>
        </w:rPr>
        <w:t>顺城区，</w:t>
      </w:r>
      <w:r>
        <w:rPr>
          <w:rFonts w:hint="eastAsia" w:ascii="仿宋_GB2312" w:hAnsi="仿宋" w:eastAsia="仿宋_GB2312" w:cs="Times New Roman"/>
          <w:b w:val="0"/>
          <w:bCs w:val="0"/>
          <w:color w:val="000000"/>
          <w:kern w:val="2"/>
          <w:sz w:val="32"/>
          <w:szCs w:val="32"/>
          <w:highlight w:val="none"/>
          <w:lang w:val="en-US" w:eastAsia="zh-CN" w:bidi="ar-SA"/>
        </w:rPr>
        <w:t>11月24日顺</w:t>
      </w:r>
      <w:r>
        <w:rPr>
          <w:rFonts w:hint="eastAsia" w:ascii="仿宋_GB2312" w:hAnsi="仿宋" w:eastAsia="仿宋_GB2312" w:cs="Times New Roman"/>
          <w:b w:val="0"/>
          <w:bCs w:val="0"/>
          <w:color w:val="000000"/>
          <w:kern w:val="2"/>
          <w:sz w:val="32"/>
          <w:szCs w:val="32"/>
          <w:lang w:val="en-US" w:eastAsia="zh-CN" w:bidi="ar-SA"/>
        </w:rPr>
        <w:t>城区应急局牵头核查确认举报信息内容属实，并向市应急局书面反馈。</w:t>
      </w:r>
      <w:r>
        <w:rPr>
          <w:rFonts w:hint="eastAsia" w:ascii="仿宋_GB2312" w:hAnsi="仿宋" w:eastAsia="仿宋_GB2312" w:cs="Times New Roman"/>
          <w:b w:val="0"/>
          <w:bCs w:val="0"/>
          <w:color w:val="000000"/>
          <w:kern w:val="2"/>
          <w:sz w:val="32"/>
          <w:szCs w:val="32"/>
          <w:highlight w:val="none"/>
          <w:lang w:val="en-US" w:eastAsia="zh-CN" w:bidi="ar-SA"/>
        </w:rPr>
        <w:t>11月25日，</w:t>
      </w:r>
      <w:r>
        <w:rPr>
          <w:rFonts w:hint="eastAsia" w:ascii="仿宋_GB2312" w:hAnsi="仿宋" w:eastAsia="仿宋_GB2312" w:cs="Times New Roman"/>
          <w:b w:val="0"/>
          <w:bCs w:val="0"/>
          <w:color w:val="000000"/>
          <w:kern w:val="2"/>
          <w:sz w:val="32"/>
          <w:szCs w:val="32"/>
          <w:lang w:val="en-US" w:eastAsia="zh-CN" w:bidi="ar-SA"/>
        </w:rPr>
        <w:t>抚顺市人民政府依据《中华人民共和国安全生产法》《生产安全事故报告和调查处理条例》等法律法规，成立了由市应急局牵头，市公安局、市总工会、</w:t>
      </w:r>
      <w:r>
        <w:rPr>
          <w:rFonts w:hint="eastAsia" w:ascii="仿宋_GB2312" w:hAnsi="仿宋" w:eastAsia="仿宋_GB2312" w:cs="Times New Roman"/>
          <w:b w:val="0"/>
          <w:bCs w:val="0"/>
          <w:color w:val="000000"/>
          <w:kern w:val="2"/>
          <w:sz w:val="32"/>
          <w:szCs w:val="32"/>
          <w:highlight w:val="none"/>
          <w:lang w:val="en-US" w:eastAsia="zh-CN" w:bidi="ar-SA"/>
        </w:rPr>
        <w:t>市住建局、顺城区政府</w:t>
      </w:r>
      <w:r>
        <w:rPr>
          <w:rFonts w:hint="eastAsia" w:ascii="仿宋_GB2312" w:hAnsi="仿宋" w:eastAsia="仿宋_GB2312" w:cs="Times New Roman"/>
          <w:b w:val="0"/>
          <w:bCs w:val="0"/>
          <w:color w:val="000000"/>
          <w:kern w:val="2"/>
          <w:sz w:val="32"/>
          <w:szCs w:val="32"/>
          <w:lang w:val="en-US" w:eastAsia="zh-CN" w:bidi="ar-SA"/>
        </w:rPr>
        <w:t>组成的抚顺顺城辽宁鑫合建筑装饰装修工程有限公司“7·1”一般高处坠落事故调查组（以下简称“事故调查组”），开展事故调查工作，事故调查组聘请了有关专家参与调查，市纪委监委全程监督。</w:t>
      </w:r>
    </w:p>
    <w:p w14:paraId="3C8E8AD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560" w:lineRule="exact"/>
        <w:ind w:right="0" w:firstLine="640" w:firstLineChars="200"/>
        <w:jc w:val="both"/>
        <w:textAlignment w:val="auto"/>
        <w:rPr>
          <w:rFonts w:hint="eastAsia" w:ascii="仿宋_GB2312" w:hAnsi="仿宋" w:eastAsia="仿宋_GB2312" w:cs="Times New Roman"/>
          <w:b w:val="0"/>
          <w:bCs w:val="0"/>
          <w:color w:val="000000"/>
          <w:kern w:val="2"/>
          <w:sz w:val="32"/>
          <w:szCs w:val="32"/>
          <w:lang w:val="en-US" w:eastAsia="zh-CN" w:bidi="ar-SA"/>
        </w:rPr>
      </w:pPr>
      <w:r>
        <w:rPr>
          <w:rFonts w:hint="eastAsia" w:ascii="仿宋_GB2312" w:hAnsi="仿宋" w:eastAsia="仿宋_GB2312" w:cs="Times New Roman"/>
          <w:b w:val="0"/>
          <w:bCs w:val="0"/>
          <w:color w:val="000000"/>
          <w:kern w:val="2"/>
          <w:sz w:val="32"/>
          <w:szCs w:val="32"/>
          <w:lang w:val="en-US" w:eastAsia="zh-CN" w:bidi="ar-SA"/>
        </w:rPr>
        <w:t>事故调查组坚持“科学严谨、依法依规、实事求是、注重实效”和“四不放过”的原则，通过现场勘察、查阅资料、对相关人员询问、收集有关物证和书证，查清了事故发生的经过、原因和应急处置情况，认定了事故的性质和责任，提出了对责任人员、责任单位和有关单位的处理建议，事故整改及防范措施。</w:t>
      </w:r>
    </w:p>
    <w:p w14:paraId="044E061E">
      <w:pPr>
        <w:keepNext w:val="0"/>
        <w:keepLines w:val="0"/>
        <w:pageBreakBefore w:val="0"/>
        <w:kinsoku/>
        <w:wordWrap/>
        <w:overflowPunct/>
        <w:topLinePunct w:val="0"/>
        <w:bidi w:val="0"/>
        <w:spacing w:line="560" w:lineRule="exact"/>
        <w:ind w:left="59" w:firstLine="640"/>
        <w:jc w:val="both"/>
        <w:textAlignment w:val="auto"/>
        <w:rPr>
          <w:rFonts w:hint="default" w:ascii="仿宋_GB2312" w:hAnsi="仿宋" w:eastAsia="仿宋_GB2312" w:cs="Times New Roman"/>
          <w:b w:val="0"/>
          <w:bCs w:val="0"/>
          <w:color w:val="000000"/>
          <w:kern w:val="2"/>
          <w:sz w:val="32"/>
          <w:szCs w:val="32"/>
          <w:lang w:val="en-US" w:eastAsia="zh-CN" w:bidi="ar-SA"/>
        </w:rPr>
      </w:pPr>
      <w:r>
        <w:rPr>
          <w:rFonts w:hint="eastAsia" w:ascii="仿宋_GB2312" w:hAnsi="仿宋_GB2312" w:eastAsia="仿宋_GB2312" w:cs="仿宋_GB2312"/>
          <w:color w:val="000000"/>
          <w:sz w:val="32"/>
          <w:szCs w:val="32"/>
          <w:highlight w:val="none"/>
        </w:rPr>
        <w:t>经调查认定</w:t>
      </w:r>
      <w:r>
        <w:rPr>
          <w:rFonts w:hint="eastAsia" w:ascii="仿宋_GB2312" w:hAnsi="仿宋_GB2312" w:eastAsia="仿宋_GB2312" w:cs="仿宋_GB2312"/>
          <w:color w:val="000000"/>
          <w:sz w:val="32"/>
          <w:szCs w:val="32"/>
          <w:highlight w:val="none"/>
          <w:lang w:eastAsia="zh-CN"/>
        </w:rPr>
        <w:t>，</w:t>
      </w:r>
      <w:r>
        <w:rPr>
          <w:rFonts w:hint="eastAsia" w:ascii="仿宋_GB2312" w:hAnsi="仿宋" w:eastAsia="仿宋_GB2312" w:cs="Times New Roman"/>
          <w:b w:val="0"/>
          <w:bCs w:val="0"/>
          <w:color w:val="000000"/>
          <w:kern w:val="2"/>
          <w:sz w:val="32"/>
          <w:szCs w:val="32"/>
          <w:highlight w:val="none"/>
          <w:lang w:val="en-US" w:eastAsia="zh-CN" w:bidi="ar-SA"/>
        </w:rPr>
        <w:t>“7·1”</w:t>
      </w:r>
      <w:r>
        <w:rPr>
          <w:rFonts w:hint="eastAsia" w:ascii="仿宋_GB2312" w:hAnsi="仿宋_GB2312" w:eastAsia="仿宋_GB2312" w:cs="仿宋_GB2312"/>
          <w:color w:val="000000"/>
          <w:sz w:val="32"/>
          <w:szCs w:val="32"/>
          <w:highlight w:val="none"/>
        </w:rPr>
        <w:t>事故是一起</w:t>
      </w:r>
      <w:r>
        <w:rPr>
          <w:rFonts w:hint="eastAsia" w:ascii="仿宋_GB2312" w:hAnsi="仿宋_GB2312" w:eastAsia="仿宋_GB2312" w:cs="仿宋_GB2312"/>
          <w:color w:val="000000"/>
          <w:sz w:val="32"/>
          <w:szCs w:val="32"/>
          <w:highlight w:val="none"/>
          <w:lang w:eastAsia="zh-CN"/>
        </w:rPr>
        <w:t>作业人员安全防护不到位、作业现场</w:t>
      </w:r>
      <w:r>
        <w:rPr>
          <w:rFonts w:hint="eastAsia" w:ascii="仿宋_GB2312" w:hAnsi="仿宋_GB2312" w:eastAsia="仿宋_GB2312" w:cs="仿宋_GB2312"/>
          <w:color w:val="000000"/>
          <w:sz w:val="32"/>
          <w:szCs w:val="32"/>
          <w:highlight w:val="none"/>
        </w:rPr>
        <w:t>安全管理</w:t>
      </w:r>
      <w:r>
        <w:rPr>
          <w:rFonts w:hint="eastAsia" w:ascii="仿宋_GB2312" w:hAnsi="仿宋_GB2312" w:eastAsia="仿宋_GB2312" w:cs="仿宋_GB2312"/>
          <w:color w:val="000000"/>
          <w:sz w:val="32"/>
          <w:szCs w:val="32"/>
          <w:highlight w:val="none"/>
          <w:lang w:eastAsia="zh-CN"/>
        </w:rPr>
        <w:t>缺失导致</w:t>
      </w:r>
      <w:r>
        <w:rPr>
          <w:rFonts w:hint="eastAsia" w:ascii="仿宋_GB2312" w:hAnsi="仿宋_GB2312" w:eastAsia="仿宋_GB2312" w:cs="仿宋_GB2312"/>
          <w:color w:val="000000"/>
          <w:sz w:val="32"/>
          <w:szCs w:val="32"/>
          <w:highlight w:val="none"/>
          <w:lang w:val="en-US" w:eastAsia="zh-CN"/>
        </w:rPr>
        <w:t>的</w:t>
      </w:r>
      <w:r>
        <w:rPr>
          <w:rFonts w:hint="eastAsia" w:ascii="仿宋_GB2312" w:hAnsi="仿宋_GB2312" w:eastAsia="仿宋_GB2312" w:cs="仿宋_GB2312"/>
          <w:color w:val="000000"/>
          <w:sz w:val="32"/>
          <w:szCs w:val="32"/>
          <w:highlight w:val="none"/>
        </w:rPr>
        <w:t>生产安全责任事故。现将有关情况报告如下：</w:t>
      </w:r>
    </w:p>
    <w:p w14:paraId="6058AD49">
      <w:pPr>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line="560" w:lineRule="exact"/>
        <w:ind w:firstLine="640" w:firstLineChars="200"/>
        <w:jc w:val="both"/>
        <w:textAlignment w:val="auto"/>
        <w:rPr>
          <w:rFonts w:hint="eastAsia" w:ascii="黑体" w:hAnsi="黑体" w:eastAsia="黑体" w:cs="黑体"/>
          <w:b w:val="0"/>
          <w:bCs w:val="0"/>
          <w:kern w:val="0"/>
          <w:sz w:val="32"/>
          <w:szCs w:val="32"/>
        </w:rPr>
      </w:pPr>
      <w:r>
        <w:rPr>
          <w:rFonts w:hint="eastAsia" w:ascii="黑体" w:hAnsi="黑体" w:eastAsia="黑体" w:cs="黑体"/>
          <w:b w:val="0"/>
          <w:bCs w:val="0"/>
          <w:kern w:val="0"/>
          <w:sz w:val="32"/>
          <w:szCs w:val="32"/>
        </w:rPr>
        <w:t>事故</w:t>
      </w:r>
      <w:r>
        <w:rPr>
          <w:rFonts w:hint="eastAsia" w:ascii="黑体" w:hAnsi="黑体" w:eastAsia="黑体" w:cs="黑体"/>
          <w:b w:val="0"/>
          <w:bCs w:val="0"/>
          <w:kern w:val="0"/>
          <w:sz w:val="32"/>
          <w:szCs w:val="32"/>
          <w:lang w:val="en-US" w:eastAsia="zh-CN"/>
        </w:rPr>
        <w:t>基本</w:t>
      </w:r>
      <w:r>
        <w:rPr>
          <w:rFonts w:hint="eastAsia" w:ascii="黑体" w:hAnsi="黑体" w:eastAsia="黑体" w:cs="黑体"/>
          <w:b w:val="0"/>
          <w:bCs w:val="0"/>
          <w:kern w:val="0"/>
          <w:sz w:val="32"/>
          <w:szCs w:val="32"/>
        </w:rPr>
        <w:t>情况</w:t>
      </w:r>
    </w:p>
    <w:p w14:paraId="7629B839">
      <w:pPr>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（一）工程项目及承包施工概况</w:t>
      </w:r>
    </w:p>
    <w:p w14:paraId="13491897">
      <w:pPr>
        <w:keepNext w:val="0"/>
        <w:keepLines w:val="0"/>
        <w:pageBreakBefore w:val="0"/>
        <w:kinsoku/>
        <w:wordWrap/>
        <w:overflowPunct/>
        <w:topLinePunct w:val="0"/>
        <w:bidi w:val="0"/>
        <w:spacing w:line="560" w:lineRule="exact"/>
        <w:ind w:left="59" w:firstLine="640"/>
        <w:textAlignment w:val="auto"/>
        <w:rPr>
          <w:rFonts w:hint="eastAsia" w:ascii="仿宋_GB2312" w:hAnsi="仿宋" w:eastAsia="仿宋_GB2312" w:cs="Times New Roman"/>
          <w:b/>
          <w:bCs/>
          <w:color w:val="000000"/>
          <w:kern w:val="2"/>
          <w:sz w:val="32"/>
          <w:szCs w:val="32"/>
          <w:lang w:val="en-US" w:eastAsia="zh-CN" w:bidi="ar-SA"/>
        </w:rPr>
      </w:pPr>
      <w:r>
        <w:rPr>
          <w:rFonts w:hint="eastAsia" w:ascii="仿宋_GB2312" w:hAnsi="仿宋" w:eastAsia="仿宋_GB2312" w:cs="Times New Roman"/>
          <w:b/>
          <w:bCs/>
          <w:color w:val="000000"/>
          <w:kern w:val="2"/>
          <w:sz w:val="32"/>
          <w:szCs w:val="32"/>
          <w:lang w:val="en-US" w:eastAsia="zh-CN" w:bidi="ar-SA"/>
        </w:rPr>
        <w:t>1.工程项目概况</w:t>
      </w:r>
    </w:p>
    <w:p w14:paraId="08E07960">
      <w:pPr>
        <w:pStyle w:val="6"/>
        <w:keepNext w:val="0"/>
        <w:keepLines w:val="0"/>
        <w:pageBreakBefore w:val="0"/>
        <w:widowControl w:val="0"/>
        <w:numPr>
          <w:ilvl w:val="0"/>
          <w:numId w:val="0"/>
        </w:numPr>
        <w:kinsoku/>
        <w:wordWrap/>
        <w:overflowPunct/>
        <w:topLinePunct w:val="0"/>
        <w:bidi w:val="0"/>
        <w:spacing w:line="560" w:lineRule="exact"/>
        <w:ind w:firstLine="640" w:firstLineChars="200"/>
        <w:jc w:val="both"/>
        <w:textAlignment w:val="auto"/>
        <w:rPr>
          <w:rFonts w:hint="eastAsia" w:ascii="仿宋" w:hAnsi="仿宋" w:eastAsia="仿宋" w:cs="仿宋"/>
          <w:color w:val="0000FF"/>
          <w:sz w:val="32"/>
          <w:szCs w:val="32"/>
          <w:highlight w:val="none"/>
          <w:lang w:val="en-US" w:eastAsia="zh-CN"/>
        </w:rPr>
      </w:pPr>
      <w:r>
        <w:rPr>
          <w:rFonts w:hint="eastAsia" w:ascii="仿宋_GB2312" w:hAnsi="仿宋" w:eastAsia="仿宋_GB2312" w:cs="Times New Roman"/>
          <w:color w:val="000000"/>
          <w:kern w:val="2"/>
          <w:sz w:val="32"/>
          <w:szCs w:val="32"/>
          <w:lang w:val="en-US" w:eastAsia="zh-CN" w:bidi="ar-SA"/>
        </w:rPr>
        <w:t>工程名称：人防设备设施维修养护工程（以下简称“工程项目”）。工程范围：人防设备设施维修养护。工程地点：抚顺市城区。工程内容：甲方下达的维修养护工程计划。当甲方有维修养护工程时，甲方工程维管部会向单位提请项目申办单，经单位审批通过后，由工程维管部将项目派给乙方</w:t>
      </w:r>
      <w:r>
        <w:rPr>
          <w:rFonts w:hint="eastAsia" w:ascii="仿宋" w:hAnsi="仿宋" w:eastAsia="仿宋" w:cs="仿宋"/>
          <w:sz w:val="32"/>
          <w:szCs w:val="32"/>
          <w:lang w:val="en-US" w:eastAsia="zh-CN"/>
        </w:rPr>
        <w:t>辽宁鑫合建筑装饰装修工程有限公司施工，</w:t>
      </w:r>
      <w:r>
        <w:rPr>
          <w:rFonts w:hint="eastAsia" w:ascii="仿宋" w:hAnsi="仿宋" w:eastAsia="仿宋" w:cs="仿宋"/>
          <w:color w:val="auto"/>
          <w:sz w:val="32"/>
          <w:szCs w:val="32"/>
          <w:highlight w:val="none"/>
          <w:lang w:val="en-US" w:eastAsia="zh-CN"/>
        </w:rPr>
        <w:t>施工包括抚顺市内人防地面指挥中心、北山指挥中心、解放路人防、北站人防、站前人防等维修工程，具体施工作业包括简易维修，也包括电工作业、电气焊作业、高处作业等特种或存在危险性作业。</w:t>
      </w:r>
    </w:p>
    <w:p w14:paraId="6B6CFA39">
      <w:pPr>
        <w:pStyle w:val="6"/>
        <w:keepNext w:val="0"/>
        <w:keepLines w:val="0"/>
        <w:pageBreakBefore w:val="0"/>
        <w:widowControl w:val="0"/>
        <w:numPr>
          <w:ilvl w:val="0"/>
          <w:numId w:val="0"/>
        </w:numPr>
        <w:kinsoku/>
        <w:wordWrap/>
        <w:overflowPunct/>
        <w:topLinePunct w:val="0"/>
        <w:bidi w:val="0"/>
        <w:spacing w:line="560" w:lineRule="exact"/>
        <w:ind w:firstLine="643" w:firstLineChars="200"/>
        <w:jc w:val="both"/>
        <w:textAlignment w:val="auto"/>
        <w:rPr>
          <w:rFonts w:hint="eastAsia" w:ascii="仿宋_GB2312" w:hAnsi="仿宋" w:eastAsia="仿宋_GB2312" w:cs="Times New Roman"/>
          <w:b/>
          <w:bCs/>
          <w:color w:val="000000"/>
          <w:kern w:val="2"/>
          <w:sz w:val="32"/>
          <w:szCs w:val="32"/>
          <w:lang w:val="en-US" w:eastAsia="zh-CN" w:bidi="ar-SA"/>
        </w:rPr>
      </w:pPr>
      <w:r>
        <w:rPr>
          <w:rFonts w:hint="eastAsia" w:ascii="仿宋" w:hAnsi="仿宋" w:eastAsia="仿宋" w:cs="仿宋"/>
          <w:b/>
          <w:sz w:val="32"/>
          <w:szCs w:val="32"/>
        </w:rPr>
        <w:t>2.工程项目承包</w:t>
      </w:r>
      <w:r>
        <w:rPr>
          <w:rFonts w:hint="eastAsia" w:ascii="仿宋" w:hAnsi="仿宋" w:eastAsia="仿宋" w:cs="仿宋"/>
          <w:b/>
          <w:sz w:val="32"/>
          <w:szCs w:val="32"/>
          <w:lang w:val="en-US" w:eastAsia="zh-CN"/>
        </w:rPr>
        <w:t>施工</w:t>
      </w:r>
      <w:r>
        <w:rPr>
          <w:rFonts w:hint="eastAsia" w:ascii="仿宋" w:hAnsi="仿宋" w:eastAsia="仿宋" w:cs="仿宋"/>
          <w:b/>
          <w:sz w:val="32"/>
          <w:szCs w:val="32"/>
        </w:rPr>
        <w:t>情况</w:t>
      </w:r>
    </w:p>
    <w:p w14:paraId="713E7E77">
      <w:pPr>
        <w:pStyle w:val="6"/>
        <w:keepNext w:val="0"/>
        <w:keepLines w:val="0"/>
        <w:pageBreakBefore w:val="0"/>
        <w:widowControl w:val="0"/>
        <w:numPr>
          <w:ilvl w:val="0"/>
          <w:numId w:val="0"/>
        </w:numPr>
        <w:kinsoku/>
        <w:wordWrap/>
        <w:overflowPunct/>
        <w:topLinePunct w:val="0"/>
        <w:bidi w:val="0"/>
        <w:spacing w:line="560" w:lineRule="exact"/>
        <w:ind w:firstLine="640" w:firstLineChars="200"/>
        <w:jc w:val="both"/>
        <w:textAlignment w:val="auto"/>
        <w:rPr>
          <w:rFonts w:hint="eastAsia" w:ascii="仿宋_GB2312" w:hAnsi="仿宋" w:eastAsia="仿宋_GB2312" w:cs="Times New Roman"/>
          <w:color w:val="000000"/>
          <w:kern w:val="2"/>
          <w:sz w:val="32"/>
          <w:szCs w:val="32"/>
          <w:highlight w:val="yellow"/>
          <w:lang w:val="en-US" w:eastAsia="zh-CN" w:bidi="ar-SA"/>
        </w:rPr>
      </w:pPr>
      <w:r>
        <w:rPr>
          <w:rFonts w:hint="eastAsia" w:ascii="仿宋_GB2312" w:hAnsi="仿宋" w:eastAsia="仿宋_GB2312" w:cs="Times New Roman"/>
          <w:color w:val="000000"/>
          <w:kern w:val="2"/>
          <w:sz w:val="32"/>
          <w:szCs w:val="32"/>
          <w:lang w:val="en-US" w:eastAsia="zh-CN" w:bidi="ar-SA"/>
        </w:rPr>
        <w:t>发包单位：抚顺市人防服务保障中心（甲方，以下简称“市人防中心”），管护单位：辽宁鑫合建筑装饰装修工程有限公司(乙方，以下简称“辽宁鑫合公司”)。双方于2024年11月11日签订了《人防设备设施维修养护合同》</w:t>
      </w:r>
      <w:r>
        <w:rPr>
          <w:rStyle w:val="16"/>
          <w:rFonts w:ascii="黑体" w:hAnsi="黑体" w:eastAsia="黑体" w:cs="黑体"/>
          <w:bCs/>
          <w:kern w:val="1"/>
          <w:sz w:val="32"/>
          <w:szCs w:val="32"/>
        </w:rPr>
        <w:t>[</w:t>
      </w:r>
      <w:r>
        <w:rPr>
          <w:rStyle w:val="16"/>
          <w:rFonts w:ascii="黑体" w:hAnsi="黑体" w:eastAsia="黑体" w:cs="黑体"/>
          <w:bCs/>
          <w:kern w:val="1"/>
          <w:sz w:val="32"/>
          <w:szCs w:val="32"/>
        </w:rPr>
        <w:footnoteReference w:id="0"/>
      </w:r>
      <w:r>
        <w:rPr>
          <w:rStyle w:val="16"/>
          <w:rFonts w:ascii="黑体" w:hAnsi="黑体" w:eastAsia="黑体" w:cs="黑体"/>
          <w:bCs/>
          <w:kern w:val="1"/>
          <w:sz w:val="32"/>
          <w:szCs w:val="32"/>
        </w:rPr>
        <w:t>]</w:t>
      </w:r>
      <w:r>
        <w:rPr>
          <w:rFonts w:hint="eastAsia" w:ascii="仿宋_GB2312" w:hAnsi="仿宋" w:eastAsia="仿宋_GB2312" w:cs="Times New Roman"/>
          <w:color w:val="000000"/>
          <w:kern w:val="2"/>
          <w:sz w:val="32"/>
          <w:szCs w:val="32"/>
          <w:lang w:val="en-US" w:eastAsia="zh-CN" w:bidi="ar-SA"/>
        </w:rPr>
        <w:t>。维修养护期为一年，即2024年11月10日至2025年11月9日。甲乙双方未签订专门的安全管理协议，仅在《人防设备设施维修养护合同》中有部分要求，</w:t>
      </w: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第六条第一款第二项甲方对乙方人防设备设施养护工程项目经营过程实施监督管理，包括质量、进度、施工情况、安全防范措施及文明施工情况；第六条第二款第五项乙方必须落实安</w:t>
      </w:r>
      <w:r>
        <w:rPr>
          <w:rFonts w:hint="eastAsia" w:ascii="仿宋_GB2312" w:hAnsi="仿宋" w:eastAsia="仿宋_GB2312" w:cs="Times New Roman"/>
          <w:color w:val="000000"/>
          <w:kern w:val="2"/>
          <w:sz w:val="32"/>
          <w:szCs w:val="32"/>
          <w:lang w:val="en-US" w:eastAsia="zh-CN" w:bidi="ar-SA"/>
        </w:rPr>
        <w:t>全生产措施保证施工安全，要严格遵守行业安全生产制度，杜绝重大安全生产事故。</w:t>
      </w:r>
    </w:p>
    <w:p w14:paraId="50ECA759">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（二）有关单位概况</w:t>
      </w:r>
    </w:p>
    <w:p w14:paraId="0A527FD9">
      <w:pPr>
        <w:keepNext w:val="0"/>
        <w:keepLines w:val="0"/>
        <w:pageBreakBefore w:val="0"/>
        <w:numPr>
          <w:ilvl w:val="0"/>
          <w:numId w:val="0"/>
        </w:numPr>
        <w:kinsoku/>
        <w:wordWrap/>
        <w:overflowPunct/>
        <w:topLinePunct w:val="0"/>
        <w:autoSpaceDE w:val="0"/>
        <w:autoSpaceDN w:val="0"/>
        <w:bidi w:val="0"/>
        <w:adjustRightInd w:val="0"/>
        <w:spacing w:line="560" w:lineRule="exact"/>
        <w:textAlignment w:val="auto"/>
        <w:rPr>
          <w:rFonts w:hint="default" w:ascii="楷体" w:hAnsi="楷体" w:eastAsia="楷体" w:cs="楷体"/>
          <w:b/>
          <w:sz w:val="32"/>
          <w:szCs w:val="32"/>
          <w:lang w:val="en-US" w:eastAsia="zh-CN"/>
        </w:rPr>
      </w:pPr>
      <w:r>
        <w:rPr>
          <w:rFonts w:hint="eastAsia" w:ascii="楷体" w:hAnsi="楷体" w:eastAsia="楷体" w:cs="楷体"/>
          <w:b/>
          <w:sz w:val="32"/>
          <w:szCs w:val="32"/>
          <w:lang w:val="en-US" w:eastAsia="zh-CN"/>
        </w:rPr>
        <w:t xml:space="preserve">   </w:t>
      </w:r>
      <w:r>
        <w:rPr>
          <w:rFonts w:hint="eastAsia" w:ascii="仿宋_GB2312" w:hAnsi="仿宋" w:eastAsia="仿宋_GB2312" w:cs="Times New Roman"/>
          <w:color w:val="000000"/>
          <w:kern w:val="2"/>
          <w:sz w:val="32"/>
          <w:szCs w:val="32"/>
          <w:lang w:val="en-US" w:eastAsia="zh-CN" w:bidi="ar-SA"/>
        </w:rPr>
        <w:t xml:space="preserve"> </w:t>
      </w:r>
      <w:r>
        <w:rPr>
          <w:rFonts w:hint="eastAsia" w:ascii="仿宋_GB2312" w:hAnsi="仿宋" w:eastAsia="仿宋_GB2312" w:cs="Times New Roman"/>
          <w:b/>
          <w:bCs/>
          <w:color w:val="000000"/>
          <w:kern w:val="2"/>
          <w:sz w:val="32"/>
          <w:szCs w:val="32"/>
          <w:lang w:val="en-US" w:eastAsia="zh-CN" w:bidi="ar-SA"/>
        </w:rPr>
        <w:t>1.辽宁鑫合公司</w:t>
      </w:r>
    </w:p>
    <w:p w14:paraId="2A27251F">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jc w:val="both"/>
        <w:textAlignment w:val="auto"/>
        <w:rPr>
          <w:rFonts w:hint="eastAsia" w:ascii="仿宋_GB2312" w:hAnsi="仿宋" w:eastAsia="仿宋_GB2312" w:cs="Times New Roman"/>
          <w:b w:val="0"/>
          <w:bCs w:val="0"/>
          <w:color w:val="000000"/>
          <w:kern w:val="2"/>
          <w:sz w:val="32"/>
          <w:szCs w:val="32"/>
          <w:highlight w:val="none"/>
          <w:lang w:val="en-US" w:eastAsia="zh-CN" w:bidi="ar-SA"/>
        </w:rPr>
      </w:pPr>
      <w:r>
        <w:rPr>
          <w:rFonts w:hint="eastAsia" w:ascii="仿宋_GB2312" w:hAnsi="仿宋" w:eastAsia="仿宋_GB2312" w:cs="Times New Roman"/>
          <w:color w:val="000000"/>
          <w:kern w:val="2"/>
          <w:sz w:val="32"/>
          <w:szCs w:val="32"/>
          <w:lang w:val="en-US" w:eastAsia="zh-CN" w:bidi="ar-SA"/>
        </w:rPr>
        <w:t>工程项目管护单位。公司统一社会信用代码：91210404MACM34NB2R，法定代表人：</w:t>
      </w:r>
      <w:r>
        <w:rPr>
          <w:rFonts w:hint="eastAsia" w:ascii="仿宋_GB2312" w:hAnsi="仿宋" w:eastAsia="仿宋_GB2312" w:cs="Times New Roman"/>
          <w:color w:val="auto"/>
          <w:kern w:val="2"/>
          <w:sz w:val="32"/>
          <w:szCs w:val="32"/>
          <w:lang w:val="en-US" w:eastAsia="zh-CN" w:bidi="ar-SA"/>
        </w:rPr>
        <w:t>杨长林（据其所述不在国内），</w:t>
      </w:r>
      <w:r>
        <w:rPr>
          <w:rFonts w:hint="eastAsia" w:ascii="仿宋_GB2312" w:hAnsi="仿宋" w:eastAsia="仿宋_GB2312" w:cs="Times New Roman"/>
          <w:color w:val="000000"/>
          <w:kern w:val="2"/>
          <w:sz w:val="32"/>
          <w:szCs w:val="32"/>
          <w:lang w:val="en-US" w:eastAsia="zh-CN" w:bidi="ar-SA"/>
        </w:rPr>
        <w:t>工程项目被授权人、项目经理：杨磊，类型：有限责任公司(自然人投资)，成立日期：2023年6月5日，营业期限：自2023年6月5日至无固定期限，注册资金：300万元人民币，住所地：抚顺市望花区田屯街4委，经营范围许可项目：建设工程施工，住宅室内装饰装修，一般项目：市政设施管理，对外承包工程，工程管理服务，工程技术服务(规划管理、勘察、设计、监理除外)，园林绿化工程施工等。登记机关：抚顺市望花区市场监督管理局。</w:t>
      </w:r>
      <w:r>
        <w:rPr>
          <w:rFonts w:hint="eastAsia" w:ascii="仿宋_GB2312" w:hAnsi="仿宋" w:eastAsia="仿宋_GB2312" w:cs="Times New Roman"/>
          <w:b w:val="0"/>
          <w:bCs w:val="0"/>
          <w:color w:val="000000"/>
          <w:kern w:val="2"/>
          <w:sz w:val="32"/>
          <w:szCs w:val="32"/>
          <w:highlight w:val="none"/>
          <w:lang w:val="en-US" w:eastAsia="zh-CN" w:bidi="ar-SA"/>
        </w:rPr>
        <w:t>辽宁鑫合公司无</w:t>
      </w:r>
    </w:p>
    <w:p w14:paraId="1F037A57">
      <w:pPr>
        <w:keepNext w:val="0"/>
        <w:keepLines w:val="0"/>
        <w:pageBreakBefore w:val="0"/>
        <w:widowControl w:val="0"/>
        <w:kinsoku/>
        <w:wordWrap/>
        <w:overflowPunct/>
        <w:topLinePunct w:val="0"/>
        <w:autoSpaceDE w:val="0"/>
        <w:autoSpaceDN w:val="0"/>
        <w:bidi w:val="0"/>
        <w:adjustRightInd w:val="0"/>
        <w:spacing w:line="560" w:lineRule="exact"/>
        <w:jc w:val="both"/>
        <w:textAlignment w:val="auto"/>
        <w:rPr>
          <w:rFonts w:hint="eastAsia" w:ascii="仿宋_GB2312" w:hAnsi="仿宋" w:eastAsia="仿宋_GB2312" w:cs="Times New Roman"/>
          <w:b w:val="0"/>
          <w:bCs w:val="0"/>
          <w:color w:val="000000"/>
          <w:kern w:val="2"/>
          <w:sz w:val="32"/>
          <w:szCs w:val="32"/>
          <w:highlight w:val="none"/>
          <w:lang w:val="en-US" w:eastAsia="zh-CN" w:bidi="ar-SA"/>
        </w:rPr>
      </w:pPr>
      <w:r>
        <w:rPr>
          <w:rFonts w:hint="eastAsia" w:ascii="仿宋_GB2312" w:hAnsi="仿宋" w:eastAsia="仿宋_GB2312" w:cs="Times New Roman"/>
          <w:b w:val="0"/>
          <w:bCs w:val="0"/>
          <w:color w:val="000000"/>
          <w:kern w:val="2"/>
          <w:sz w:val="32"/>
          <w:szCs w:val="32"/>
          <w:highlight w:val="none"/>
          <w:lang w:val="en-US" w:eastAsia="zh-CN" w:bidi="ar-SA"/>
        </w:rPr>
        <w:t>建设工程施工资质、无安全生产许可证。</w:t>
      </w:r>
    </w:p>
    <w:p w14:paraId="2647D2C3">
      <w:pPr>
        <w:keepNext w:val="0"/>
        <w:keepLines w:val="0"/>
        <w:pageBreakBefore w:val="0"/>
        <w:numPr>
          <w:ilvl w:val="0"/>
          <w:numId w:val="0"/>
        </w:numPr>
        <w:kinsoku/>
        <w:wordWrap/>
        <w:overflowPunct/>
        <w:topLinePunct w:val="0"/>
        <w:autoSpaceDE w:val="0"/>
        <w:autoSpaceDN w:val="0"/>
        <w:bidi w:val="0"/>
        <w:adjustRightInd w:val="0"/>
        <w:spacing w:line="560" w:lineRule="exact"/>
        <w:ind w:firstLine="643" w:firstLineChars="200"/>
        <w:textAlignment w:val="auto"/>
        <w:rPr>
          <w:rFonts w:hint="default" w:ascii="仿宋_GB2312" w:hAnsi="仿宋" w:eastAsia="仿宋_GB2312" w:cs="Times New Roman"/>
          <w:b/>
          <w:bCs/>
          <w:color w:val="000000"/>
          <w:kern w:val="2"/>
          <w:sz w:val="32"/>
          <w:szCs w:val="32"/>
          <w:lang w:val="en-US" w:eastAsia="zh-CN" w:bidi="ar-SA"/>
        </w:rPr>
      </w:pPr>
      <w:r>
        <w:rPr>
          <w:rFonts w:hint="eastAsia" w:ascii="仿宋_GB2312" w:hAnsi="仿宋" w:eastAsia="仿宋_GB2312" w:cs="Times New Roman"/>
          <w:b/>
          <w:bCs/>
          <w:color w:val="000000"/>
          <w:kern w:val="2"/>
          <w:sz w:val="32"/>
          <w:szCs w:val="32"/>
          <w:lang w:val="en-US" w:eastAsia="zh-CN" w:bidi="ar-SA"/>
        </w:rPr>
        <w:t>2.市人防中心</w:t>
      </w:r>
    </w:p>
    <w:p w14:paraId="406C8EE3">
      <w:pPr>
        <w:pStyle w:val="6"/>
        <w:keepNext w:val="0"/>
        <w:keepLines w:val="0"/>
        <w:pageBreakBefore w:val="0"/>
        <w:widowControl w:val="0"/>
        <w:numPr>
          <w:ilvl w:val="0"/>
          <w:numId w:val="0"/>
        </w:numPr>
        <w:kinsoku/>
        <w:wordWrap/>
        <w:overflowPunct/>
        <w:topLinePunct w:val="0"/>
        <w:bidi w:val="0"/>
        <w:spacing w:line="560" w:lineRule="exact"/>
        <w:ind w:firstLine="640" w:firstLineChars="200"/>
        <w:jc w:val="both"/>
        <w:textAlignment w:val="auto"/>
        <w:rPr>
          <w:rFonts w:hint="eastAsia" w:ascii="仿宋_GB2312" w:hAnsi="仿宋" w:eastAsia="微软雅黑" w:cs="Times New Roman"/>
          <w:color w:val="auto"/>
          <w:kern w:val="2"/>
          <w:sz w:val="32"/>
          <w:szCs w:val="32"/>
          <w:lang w:val="en-US" w:eastAsia="zh-CN" w:bidi="ar-SA"/>
        </w:rPr>
      </w:pPr>
      <w:r>
        <w:rPr>
          <w:rFonts w:hint="eastAsia" w:ascii="仿宋_GB2312" w:hAnsi="仿宋" w:eastAsia="仿宋_GB2312" w:cs="Times New Roman"/>
          <w:color w:val="auto"/>
          <w:kern w:val="2"/>
          <w:sz w:val="32"/>
          <w:szCs w:val="32"/>
          <w:lang w:val="en-US" w:eastAsia="zh-CN" w:bidi="ar-SA"/>
        </w:rPr>
        <w:t>工程项目发包单位。事业单位法人证书统一社会信用代码：12210400MB1P6376XH，法定代表人：</w:t>
      </w:r>
      <w:r>
        <w:rPr>
          <w:rFonts w:hint="eastAsia" w:ascii="仿宋_GB2312" w:hAnsi="仿宋" w:eastAsia="仿宋_GB2312" w:cs="Times New Roman"/>
          <w:color w:val="auto"/>
          <w:kern w:val="2"/>
          <w:sz w:val="32"/>
          <w:szCs w:val="32"/>
          <w:lang w:val="en-US" w:eastAsia="zh-CN" w:bidi="ar-SA"/>
        </w:rPr>
        <w:fldChar w:fldCharType="begin"/>
      </w:r>
      <w:r>
        <w:rPr>
          <w:rFonts w:hint="eastAsia" w:ascii="仿宋_GB2312" w:hAnsi="仿宋" w:eastAsia="仿宋_GB2312" w:cs="Times New Roman"/>
          <w:color w:val="auto"/>
          <w:kern w:val="2"/>
          <w:sz w:val="32"/>
          <w:szCs w:val="32"/>
          <w:lang w:val="en-US" w:eastAsia="zh-CN" w:bidi="ar-SA"/>
        </w:rPr>
        <w:instrText xml:space="preserve"> HYPERLINK "https://www.qcc.com/pl/pr4fe1d5e0f35a05781f45ce5adc103a.html" \t "https://www.qcc.com/firm/_blank" </w:instrText>
      </w:r>
      <w:r>
        <w:rPr>
          <w:rFonts w:hint="eastAsia" w:ascii="仿宋_GB2312" w:hAnsi="仿宋" w:eastAsia="仿宋_GB2312" w:cs="Times New Roman"/>
          <w:color w:val="auto"/>
          <w:kern w:val="2"/>
          <w:sz w:val="32"/>
          <w:szCs w:val="32"/>
          <w:lang w:val="en-US" w:eastAsia="zh-CN" w:bidi="ar-SA"/>
        </w:rPr>
        <w:fldChar w:fldCharType="separate"/>
      </w:r>
      <w:r>
        <w:rPr>
          <w:rFonts w:hint="eastAsia" w:ascii="仿宋_GB2312" w:hAnsi="仿宋" w:eastAsia="仿宋_GB2312" w:cs="Times New Roman"/>
          <w:color w:val="auto"/>
          <w:kern w:val="2"/>
          <w:sz w:val="32"/>
          <w:szCs w:val="32"/>
          <w:lang w:val="en-US" w:eastAsia="zh-CN" w:bidi="ar-SA"/>
        </w:rPr>
        <w:t>韩春强</w:t>
      </w:r>
      <w:r>
        <w:rPr>
          <w:rFonts w:hint="eastAsia" w:ascii="仿宋_GB2312" w:hAnsi="仿宋" w:eastAsia="仿宋_GB2312" w:cs="Times New Roman"/>
          <w:color w:val="auto"/>
          <w:kern w:val="2"/>
          <w:sz w:val="32"/>
          <w:szCs w:val="32"/>
          <w:lang w:val="en-US" w:eastAsia="zh-CN" w:bidi="ar-SA"/>
        </w:rPr>
        <w:fldChar w:fldCharType="end"/>
      </w:r>
      <w:r>
        <w:rPr>
          <w:rFonts w:hint="eastAsia" w:ascii="仿宋_GB2312" w:hAnsi="仿宋" w:eastAsia="仿宋_GB2312" w:cs="Times New Roman"/>
          <w:color w:val="auto"/>
          <w:kern w:val="2"/>
          <w:sz w:val="32"/>
          <w:szCs w:val="32"/>
          <w:lang w:val="en-US" w:eastAsia="zh-CN" w:bidi="ar-SA"/>
        </w:rPr>
        <w:t>，举办单位：抚顺市发展和改革委员会，经费来源：财政部分补助、经费自理，住所：抚顺市新抚区琥珀街3号，宗旨和业务范围：为党、政、军领导提供指挥设施保障。人防通信警报系统、人防指挥场所等设备设施维护、保障战备执勤和人防组织指挥训练演练人防宣传教育基地、人防工程及人防国有资产设备设施的管理和维护、平战结合开发利用人防设施、服务保障人防事业再建工程筹集资金、为人防工程质量安全监督执法工作提供技术支持和服务保障。登记机关：抚顺市事业单位登记管理局。</w:t>
      </w:r>
    </w:p>
    <w:p w14:paraId="5D993CF1">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（三）有关人员概况</w:t>
      </w:r>
    </w:p>
    <w:p w14:paraId="0452DAE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1.孙洪伟（伤者），为辽宁鑫合公司工程项目被授权人、项目经理杨磊雇佣人员,杨磊给孙洪伟支付报酬，孙洪伟视工作情况独自作业或再雇佣其他人员。</w:t>
      </w:r>
    </w:p>
    <w:p w14:paraId="315516A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Times New Roman"/>
          <w:color w:val="000000"/>
          <w:kern w:val="2"/>
          <w:sz w:val="32"/>
          <w:szCs w:val="32"/>
          <w:highlight w:val="yellow"/>
          <w:lang w:val="en-US" w:eastAsia="zh-CN" w:bidi="ar-SA"/>
        </w:rPr>
      </w:pPr>
      <w:r>
        <w:rPr>
          <w:rFonts w:hint="eastAsia" w:ascii="仿宋_GB2312" w:hAnsi="仿宋" w:eastAsia="仿宋_GB2312" w:cs="Times New Roman"/>
          <w:color w:val="000000"/>
          <w:kern w:val="2"/>
          <w:sz w:val="32"/>
          <w:szCs w:val="32"/>
          <w:highlight w:val="none"/>
          <w:lang w:val="en-US" w:eastAsia="zh-CN" w:bidi="ar-SA"/>
        </w:rPr>
        <w:t>2.姜中成，为孙洪伟雇佣人员，事发当日配合孙洪伟作业。</w:t>
      </w:r>
    </w:p>
    <w:p w14:paraId="3FA14C3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3.杨磊，辽宁鑫合公司工程项目被授权人、项目经理。</w:t>
      </w:r>
    </w:p>
    <w:p w14:paraId="3AAF65B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000000"/>
          <w:kern w:val="2"/>
          <w:sz w:val="32"/>
          <w:szCs w:val="32"/>
          <w:highlight w:val="none"/>
          <w:lang w:val="en-US" w:eastAsia="zh-CN" w:bidi="ar-SA"/>
        </w:rPr>
      </w:pPr>
      <w:r>
        <w:rPr>
          <w:rFonts w:hint="eastAsia" w:ascii="仿宋_GB2312" w:hAnsi="仿宋" w:eastAsia="仿宋_GB2312" w:cs="Times New Roman"/>
          <w:color w:val="000000"/>
          <w:kern w:val="2"/>
          <w:sz w:val="32"/>
          <w:szCs w:val="32"/>
          <w:lang w:val="en-US" w:eastAsia="zh-CN" w:bidi="ar-SA"/>
        </w:rPr>
        <w:t>4.尤宝利，市人防中心工程维管部部长，《人防设备设施维修养护合同》委托代理人，</w:t>
      </w:r>
      <w:r>
        <w:rPr>
          <w:rFonts w:hint="eastAsia" w:ascii="仿宋_GB2312" w:hAnsi="仿宋" w:eastAsia="仿宋_GB2312" w:cs="Times New Roman"/>
          <w:color w:val="000000"/>
          <w:kern w:val="2"/>
          <w:sz w:val="32"/>
          <w:szCs w:val="32"/>
          <w:highlight w:val="none"/>
          <w:lang w:val="en-US" w:eastAsia="zh-CN" w:bidi="ar-SA"/>
        </w:rPr>
        <w:t>日常负责人防工程的维修保养等。</w:t>
      </w:r>
    </w:p>
    <w:p w14:paraId="32BF8F89">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000000"/>
          <w:kern w:val="2"/>
          <w:sz w:val="32"/>
          <w:szCs w:val="32"/>
          <w:highlight w:val="yellow"/>
          <w:lang w:val="en-US" w:eastAsia="zh-CN" w:bidi="ar-SA"/>
        </w:rPr>
      </w:pPr>
      <w:r>
        <w:rPr>
          <w:rFonts w:hint="eastAsia" w:ascii="仿宋_GB2312" w:hAnsi="仿宋" w:eastAsia="仿宋_GB2312" w:cs="Times New Roman"/>
          <w:color w:val="000000"/>
          <w:kern w:val="2"/>
          <w:sz w:val="32"/>
          <w:szCs w:val="32"/>
          <w:highlight w:val="none"/>
          <w:lang w:val="en-US" w:eastAsia="zh-CN" w:bidi="ar-SA"/>
        </w:rPr>
        <w:t>5.邢博华，市人防中心副主任，分管工程维管部，在</w:t>
      </w:r>
      <w:r>
        <w:rPr>
          <w:rFonts w:hint="eastAsia" w:ascii="仿宋_GB2312" w:hAnsi="仿宋" w:eastAsia="仿宋_GB2312" w:cs="Times New Roman"/>
          <w:color w:val="000000"/>
          <w:kern w:val="2"/>
          <w:sz w:val="32"/>
          <w:szCs w:val="32"/>
          <w:lang w:val="en-US" w:eastAsia="zh-CN" w:bidi="ar-SA"/>
        </w:rPr>
        <w:t>市人防中心班子会提出辽宁鑫合公司作为人防工程及设备设施维保单位。</w:t>
      </w:r>
    </w:p>
    <w:p w14:paraId="46FB730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000000"/>
          <w:kern w:val="2"/>
          <w:sz w:val="32"/>
          <w:szCs w:val="32"/>
          <w:highlight w:val="none"/>
          <w:lang w:val="en-US" w:eastAsia="zh-CN" w:bidi="ar-SA"/>
        </w:rPr>
      </w:pPr>
      <w:r>
        <w:rPr>
          <w:rFonts w:hint="eastAsia" w:ascii="仿宋_GB2312" w:hAnsi="仿宋" w:eastAsia="仿宋_GB2312" w:cs="Times New Roman"/>
          <w:color w:val="000000"/>
          <w:kern w:val="2"/>
          <w:sz w:val="32"/>
          <w:szCs w:val="32"/>
          <w:highlight w:val="none"/>
          <w:lang w:val="en-US" w:eastAsia="zh-CN" w:bidi="ar-SA"/>
        </w:rPr>
        <w:t>6.韩春强，市人防中心主任，负责市人防中心全面工作。</w:t>
      </w:r>
    </w:p>
    <w:p w14:paraId="17F060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（四）事发前有关情况</w:t>
      </w:r>
    </w:p>
    <w:p w14:paraId="0004D8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1.查阅事发前市人防中心工程项目作业审批流程，其中2025年6月30日《人防服务保障中心维修工作申办单》显示如下，维修申办部门：维管部，承建单位：辽宁鑫合公司，申办内容：高铁即将通车运行市政府要求北站整洁亮化，北站原六道鲜口部房需清理玻璃上招贴、卫生清扫、口部玻璃渗水维修等工作。维管部门负责人：尤宝利（签字）；分管领导：邢博华（签字）。</w:t>
      </w:r>
    </w:p>
    <w:p w14:paraId="0F1025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2.辽宁鑫合公司</w:t>
      </w:r>
      <w:r>
        <w:rPr>
          <w:rFonts w:hint="eastAsia" w:ascii="仿宋_GB2312" w:hAnsi="仿宋" w:eastAsia="仿宋_GB2312" w:cs="Times New Roman"/>
          <w:color w:val="auto"/>
          <w:kern w:val="2"/>
          <w:sz w:val="32"/>
          <w:szCs w:val="32"/>
          <w:lang w:val="en-US" w:eastAsia="zh-CN" w:bidi="ar-SA"/>
        </w:rPr>
        <w:t>作</w:t>
      </w:r>
      <w:r>
        <w:rPr>
          <w:rFonts w:hint="eastAsia" w:ascii="仿宋_GB2312" w:hAnsi="仿宋" w:eastAsia="仿宋_GB2312" w:cs="Times New Roman"/>
          <w:color w:val="000000"/>
          <w:kern w:val="2"/>
          <w:sz w:val="32"/>
          <w:szCs w:val="32"/>
          <w:lang w:val="en-US" w:eastAsia="zh-CN" w:bidi="ar-SA"/>
        </w:rPr>
        <w:t>业前未制定相关工作方案及安全措施，未对所雇佣人员进行安全培训教育，未对作业进行安全风险辨识和监督，未配备高处作业劳动防护用品。</w:t>
      </w:r>
    </w:p>
    <w:p w14:paraId="23957A67">
      <w:pPr>
        <w:keepNext w:val="0"/>
        <w:keepLines w:val="0"/>
        <w:pageBreakBefore w:val="0"/>
        <w:kinsoku/>
        <w:wordWrap/>
        <w:overflowPunct/>
        <w:topLinePunct w:val="0"/>
        <w:autoSpaceDE/>
        <w:autoSpaceDN/>
        <w:bidi w:val="0"/>
        <w:adjustRightInd/>
        <w:spacing w:line="560" w:lineRule="exact"/>
        <w:ind w:left="840" w:leftChars="400"/>
        <w:textAlignment w:val="auto"/>
        <w:rPr>
          <w:rFonts w:hint="eastAsia" w:ascii="仿宋" w:hAnsi="仿宋" w:eastAsia="仿宋" w:cs="仿宋"/>
          <w:b w:val="0"/>
          <w:bCs w:val="0"/>
          <w:kern w:val="0"/>
          <w:sz w:val="32"/>
          <w:szCs w:val="32"/>
        </w:rPr>
      </w:pPr>
      <w:r>
        <w:rPr>
          <w:rFonts w:hint="eastAsia" w:ascii="黑体" w:hAnsi="黑体" w:eastAsia="黑体" w:cs="黑体"/>
          <w:b w:val="0"/>
          <w:bCs w:val="0"/>
          <w:kern w:val="0"/>
          <w:sz w:val="32"/>
          <w:szCs w:val="32"/>
        </w:rPr>
        <w:t>二、</w:t>
      </w:r>
      <w:r>
        <w:rPr>
          <w:rFonts w:hint="eastAsia" w:ascii="黑体" w:hAnsi="黑体" w:eastAsia="黑体" w:cs="黑体"/>
          <w:sz w:val="32"/>
          <w:szCs w:val="32"/>
        </w:rPr>
        <w:t>事故经过、</w:t>
      </w:r>
      <w:r>
        <w:rPr>
          <w:rFonts w:hint="eastAsia" w:ascii="黑体" w:hAnsi="黑体" w:eastAsia="黑体" w:cs="黑体"/>
          <w:bCs/>
          <w:sz w:val="32"/>
          <w:szCs w:val="32"/>
        </w:rPr>
        <w:t>救援及报告情况</w:t>
      </w:r>
      <w:r>
        <w:rPr>
          <w:rFonts w:hint="eastAsia" w:ascii="仿宋" w:hAnsi="仿宋" w:eastAsia="仿宋" w:cs="仿宋"/>
          <w:b w:val="0"/>
          <w:bCs w:val="0"/>
          <w:kern w:val="0"/>
          <w:sz w:val="32"/>
          <w:szCs w:val="32"/>
        </w:rPr>
        <w:t xml:space="preserve"> </w:t>
      </w:r>
    </w:p>
    <w:p w14:paraId="2EEA72D9">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（一）事故发生经过</w:t>
      </w:r>
    </w:p>
    <w:p w14:paraId="765F4F1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宋体" w:cs="宋体"/>
          <w:sz w:val="28"/>
          <w:szCs w:val="28"/>
          <w:lang w:val="en-US" w:eastAsia="zh-CN"/>
        </w:rPr>
      </w:pPr>
      <w:r>
        <w:rPr>
          <w:rFonts w:hint="eastAsia" w:ascii="仿宋_GB2312" w:hAnsi="仿宋" w:eastAsia="仿宋_GB2312" w:cs="Times New Roman"/>
          <w:color w:val="000000"/>
          <w:kern w:val="2"/>
          <w:sz w:val="32"/>
          <w:szCs w:val="32"/>
          <w:lang w:val="en-US" w:eastAsia="zh-CN" w:bidi="ar-SA"/>
        </w:rPr>
        <w:t>2025年6月30日，市人防中心尤宝利</w:t>
      </w:r>
      <w:r>
        <w:rPr>
          <w:rFonts w:hint="eastAsia" w:ascii="仿宋_GB2312" w:hAnsi="仿宋" w:eastAsia="仿宋_GB2312" w:cs="Times New Roman"/>
          <w:color w:val="000000"/>
          <w:kern w:val="2"/>
          <w:sz w:val="32"/>
          <w:szCs w:val="32"/>
          <w:highlight w:val="none"/>
          <w:lang w:val="en-US" w:eastAsia="zh-CN" w:bidi="ar-SA"/>
        </w:rPr>
        <w:t>、郭峰带</w:t>
      </w:r>
      <w:r>
        <w:rPr>
          <w:rFonts w:hint="eastAsia" w:ascii="仿宋_GB2312" w:hAnsi="仿宋" w:eastAsia="仿宋_GB2312" w:cs="Times New Roman"/>
          <w:color w:val="000000"/>
          <w:kern w:val="2"/>
          <w:sz w:val="32"/>
          <w:szCs w:val="32"/>
          <w:lang w:val="en-US" w:eastAsia="zh-CN" w:bidi="ar-SA"/>
        </w:rPr>
        <w:t>辽宁鑫合公司杨磊一同到</w:t>
      </w:r>
      <w:r>
        <w:rPr>
          <w:rFonts w:hint="eastAsia" w:ascii="仿宋_GB2312" w:hAnsi="仿宋" w:eastAsia="仿宋_GB2312" w:cs="Times New Roman"/>
          <w:b w:val="0"/>
          <w:bCs w:val="0"/>
          <w:color w:val="000000"/>
          <w:kern w:val="2"/>
          <w:sz w:val="32"/>
          <w:szCs w:val="32"/>
          <w:lang w:val="en-US" w:eastAsia="zh-CN" w:bidi="ar-SA"/>
        </w:rPr>
        <w:t>抚顺市顺城区新华大街的北站南广场西侧地下通道玻璃房确定作业内容。</w:t>
      </w:r>
      <w:r>
        <w:rPr>
          <w:rFonts w:hint="eastAsia" w:ascii="仿宋_GB2312" w:hAnsi="仿宋" w:eastAsia="仿宋_GB2312" w:cs="Times New Roman"/>
          <w:color w:val="000000"/>
          <w:kern w:val="2"/>
          <w:sz w:val="32"/>
          <w:szCs w:val="32"/>
          <w:lang w:val="en-US" w:eastAsia="zh-CN" w:bidi="ar-SA"/>
        </w:rPr>
        <w:t>2025年7月1日8时许，杨磊在作业现场交代孙洪伟、姜中成作业内容，包括：收拾人防大玻璃房内卫生、处理小玻璃房上积水并进行防水处理、装沙袋作为雨季防雨措施等。因市人防中心要求将1台水泵送至该单位，杨磊便离开现场送水泵，现场留有孙洪伟和姜中成作业。</w:t>
      </w:r>
      <w:r>
        <w:rPr>
          <w:rFonts w:hint="eastAsia" w:ascii="仿宋_GB2312" w:hAnsi="仿宋" w:eastAsia="仿宋_GB2312" w:cs="Times New Roman"/>
          <w:color w:val="000000" w:themeColor="text1"/>
          <w:kern w:val="2"/>
          <w:sz w:val="32"/>
          <w:szCs w:val="32"/>
          <w:highlight w:val="none"/>
          <w:lang w:val="en-US" w:eastAsia="zh-CN" w:bidi="ar-SA"/>
          <w14:textFill>
            <w14:solidFill>
              <w14:schemeClr w14:val="tx1"/>
            </w14:solidFill>
          </w14:textFill>
        </w:rPr>
        <w:t>10时许，孙</w:t>
      </w: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洪伟</w:t>
      </w:r>
      <w:r>
        <w:rPr>
          <w:rFonts w:hint="eastAsia" w:ascii="仿宋_GB2312" w:hAnsi="仿宋" w:eastAsia="仿宋_GB2312" w:cs="Times New Roman"/>
          <w:color w:val="000000"/>
          <w:kern w:val="2"/>
          <w:sz w:val="32"/>
          <w:szCs w:val="32"/>
          <w:lang w:val="en-US" w:eastAsia="zh-CN" w:bidi="ar-SA"/>
        </w:rPr>
        <w:t>和姜中成准备对北站南广场西侧地下通道玻璃房顶部打胶作防水处理，2人相继登梯跨越玻璃房上木围栏爬上玻璃房顶部（该位置距离孙洪伟坠落的位置约有3.83m高），为了排除房顶积水，孙洪伟使用电钻在木围栏最下部贴着玻璃的位置上钻孔排积水，钻孔过程中玻璃破碎，孙洪伟随玻璃坠落到玻璃房下方通往地下的楼梯台上。</w:t>
      </w:r>
    </w:p>
    <w:p w14:paraId="691B77C8">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r>
        <w:rPr>
          <w:rFonts w:hint="eastAsia" w:ascii="仿宋" w:hAnsi="仿宋" w:eastAsia="仿宋" w:cs="仿宋"/>
          <w:sz w:val="32"/>
          <w:szCs w:val="32"/>
          <w:lang w:val="en-US" w:eastAsia="zh-CN"/>
        </w:rPr>
        <w:drawing>
          <wp:anchor distT="0" distB="0" distL="114300" distR="114300" simplePos="0" relativeHeight="251662336" behindDoc="0" locked="0" layoutInCell="1" allowOverlap="1">
            <wp:simplePos x="0" y="0"/>
            <wp:positionH relativeFrom="column">
              <wp:posOffset>1279525</wp:posOffset>
            </wp:positionH>
            <wp:positionV relativeFrom="paragraph">
              <wp:posOffset>-965835</wp:posOffset>
            </wp:positionV>
            <wp:extent cx="2795270" cy="4826635"/>
            <wp:effectExtent l="0" t="0" r="12065" b="5080"/>
            <wp:wrapNone/>
            <wp:docPr id="1" name="图片 4" descr="c2e1c88449a636b844188b7a797f8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2e1c88449a636b844188b7a797f8a9c"/>
                    <pic:cNvPicPr>
                      <a:picLocks noChangeAspect="1"/>
                    </pic:cNvPicPr>
                  </pic:nvPicPr>
                  <pic:blipFill>
                    <a:blip r:embed="rId7"/>
                    <a:stretch>
                      <a:fillRect/>
                    </a:stretch>
                  </pic:blipFill>
                  <pic:spPr>
                    <a:xfrm rot="-5400000">
                      <a:off x="0" y="0"/>
                      <a:ext cx="2795270" cy="4826635"/>
                    </a:xfrm>
                    <a:prstGeom prst="rect">
                      <a:avLst/>
                    </a:prstGeom>
                    <a:noFill/>
                    <a:ln>
                      <a:noFill/>
                    </a:ln>
                  </pic:spPr>
                </pic:pic>
              </a:graphicData>
            </a:graphic>
          </wp:anchor>
        </w:drawing>
      </w:r>
    </w:p>
    <w:p w14:paraId="72038CA4">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p>
    <w:p w14:paraId="3497C379">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p>
    <w:p w14:paraId="3961908C">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p>
    <w:p w14:paraId="31E66B45">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14:paraId="6270B51C">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14:paraId="348B5E14">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14:paraId="5B653EDB">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default"/>
          <w:sz w:val="28"/>
          <w:szCs w:val="28"/>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图</w:t>
      </w:r>
      <w:r>
        <w:rPr>
          <w:rFonts w:hint="eastAsia" w:ascii="宋体" w:hAnsi="宋体" w:cs="宋体"/>
          <w:sz w:val="28"/>
          <w:szCs w:val="28"/>
          <w:lang w:val="en-US" w:eastAsia="zh-CN"/>
        </w:rPr>
        <w:t>1</w:t>
      </w:r>
      <w:r>
        <w:rPr>
          <w:rFonts w:hint="eastAsia" w:ascii="宋体" w:hAnsi="宋体" w:eastAsia="宋体" w:cs="宋体"/>
          <w:sz w:val="28"/>
          <w:szCs w:val="28"/>
          <w:lang w:val="en-US" w:eastAsia="zh-CN"/>
        </w:rPr>
        <w:t xml:space="preserve"> 事发玻璃房</w:t>
      </w:r>
    </w:p>
    <w:p w14:paraId="1612EDDD">
      <w:pPr>
        <w:pStyle w:val="6"/>
        <w:rPr>
          <w:rFonts w:hint="default"/>
          <w:sz w:val="24"/>
          <w:szCs w:val="24"/>
          <w:lang w:val="en-US" w:eastAsia="zh-CN"/>
        </w:rPr>
      </w:pPr>
      <w:r>
        <w:rPr>
          <w:sz w:val="24"/>
          <w:szCs w:val="24"/>
        </w:rPr>
        <w:drawing>
          <wp:anchor distT="0" distB="0" distL="114300" distR="114300" simplePos="0" relativeHeight="251661312" behindDoc="0" locked="0" layoutInCell="1" allowOverlap="1">
            <wp:simplePos x="0" y="0"/>
            <wp:positionH relativeFrom="column">
              <wp:posOffset>255905</wp:posOffset>
            </wp:positionH>
            <wp:positionV relativeFrom="paragraph">
              <wp:posOffset>69215</wp:posOffset>
            </wp:positionV>
            <wp:extent cx="4928235" cy="2995295"/>
            <wp:effectExtent l="0" t="0" r="5715" b="1460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4928235" cy="2995295"/>
                    </a:xfrm>
                    <a:prstGeom prst="rect">
                      <a:avLst/>
                    </a:prstGeom>
                    <a:noFill/>
                    <a:ln>
                      <a:noFill/>
                    </a:ln>
                  </pic:spPr>
                </pic:pic>
              </a:graphicData>
            </a:graphic>
          </wp:anchor>
        </w:drawing>
      </w:r>
    </w:p>
    <w:p w14:paraId="7BC9AED6">
      <w:pPr>
        <w:pStyle w:val="6"/>
        <w:jc w:val="center"/>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w:t>
      </w:r>
    </w:p>
    <w:p w14:paraId="0C788DBA">
      <w:pPr>
        <w:pStyle w:val="6"/>
        <w:jc w:val="center"/>
        <w:rPr>
          <w:rFonts w:hint="eastAsia" w:ascii="仿宋" w:hAnsi="仿宋" w:eastAsia="仿宋" w:cs="仿宋"/>
          <w:kern w:val="2"/>
          <w:sz w:val="32"/>
          <w:szCs w:val="32"/>
          <w:lang w:val="en-US" w:eastAsia="zh-CN" w:bidi="ar-SA"/>
        </w:rPr>
      </w:pPr>
    </w:p>
    <w:p w14:paraId="783DDC39">
      <w:pPr>
        <w:pStyle w:val="6"/>
        <w:jc w:val="center"/>
        <w:rPr>
          <w:rFonts w:hint="eastAsia" w:ascii="仿宋" w:hAnsi="仿宋" w:eastAsia="仿宋" w:cs="仿宋"/>
          <w:kern w:val="2"/>
          <w:sz w:val="32"/>
          <w:szCs w:val="32"/>
          <w:lang w:val="en-US" w:eastAsia="zh-CN" w:bidi="ar-SA"/>
        </w:rPr>
      </w:pPr>
    </w:p>
    <w:p w14:paraId="6427DC3E">
      <w:pPr>
        <w:pStyle w:val="6"/>
        <w:jc w:val="center"/>
        <w:rPr>
          <w:rFonts w:hint="eastAsia" w:ascii="仿宋" w:hAnsi="仿宋" w:eastAsia="仿宋" w:cs="仿宋"/>
          <w:kern w:val="2"/>
          <w:sz w:val="32"/>
          <w:szCs w:val="32"/>
          <w:lang w:val="en-US" w:eastAsia="zh-CN" w:bidi="ar-SA"/>
        </w:rPr>
      </w:pPr>
    </w:p>
    <w:p w14:paraId="560277EB">
      <w:pPr>
        <w:pStyle w:val="6"/>
        <w:jc w:val="center"/>
        <w:rPr>
          <w:rFonts w:hint="eastAsia" w:ascii="仿宋" w:hAnsi="仿宋" w:eastAsia="仿宋" w:cs="仿宋"/>
          <w:kern w:val="2"/>
          <w:sz w:val="32"/>
          <w:szCs w:val="32"/>
          <w:lang w:val="en-US" w:eastAsia="zh-CN" w:bidi="ar-SA"/>
        </w:rPr>
      </w:pPr>
    </w:p>
    <w:p w14:paraId="3E25AA2D">
      <w:pPr>
        <w:pStyle w:val="6"/>
        <w:jc w:val="center"/>
        <w:rPr>
          <w:rFonts w:hint="eastAsia" w:ascii="仿宋" w:hAnsi="仿宋" w:eastAsia="仿宋" w:cs="仿宋"/>
          <w:kern w:val="2"/>
          <w:sz w:val="32"/>
          <w:szCs w:val="32"/>
          <w:lang w:val="en-US" w:eastAsia="zh-CN" w:bidi="ar-SA"/>
        </w:rPr>
      </w:pPr>
    </w:p>
    <w:p w14:paraId="150C4CCD">
      <w:pPr>
        <w:pStyle w:val="6"/>
        <w:jc w:val="center"/>
        <w:rPr>
          <w:rFonts w:hint="eastAsia" w:ascii="仿宋" w:hAnsi="仿宋" w:eastAsia="仿宋" w:cs="仿宋"/>
          <w:kern w:val="2"/>
          <w:sz w:val="32"/>
          <w:szCs w:val="32"/>
          <w:lang w:val="en-US" w:eastAsia="zh-CN" w:bidi="ar-SA"/>
        </w:rPr>
      </w:pPr>
    </w:p>
    <w:p w14:paraId="21B2A1F9">
      <w:pPr>
        <w:pStyle w:val="6"/>
        <w:jc w:val="center"/>
        <w:rPr>
          <w:rFonts w:hint="eastAsia" w:ascii="仿宋" w:hAnsi="仿宋" w:eastAsia="仿宋" w:cs="仿宋"/>
          <w:kern w:val="2"/>
          <w:sz w:val="32"/>
          <w:szCs w:val="32"/>
          <w:lang w:val="en-US" w:eastAsia="zh-CN" w:bidi="ar-SA"/>
        </w:rPr>
      </w:pPr>
    </w:p>
    <w:p w14:paraId="2F6E2803">
      <w:pPr>
        <w:pStyle w:val="6"/>
        <w:jc w:val="center"/>
        <w:rPr>
          <w:rFonts w:hint="eastAsia" w:ascii="仿宋" w:hAnsi="仿宋" w:eastAsia="仿宋" w:cs="仿宋"/>
          <w:kern w:val="2"/>
          <w:sz w:val="32"/>
          <w:szCs w:val="32"/>
          <w:lang w:val="en-US" w:eastAsia="zh-CN" w:bidi="ar-SA"/>
        </w:rPr>
      </w:pPr>
    </w:p>
    <w:p w14:paraId="11FC4059">
      <w:pPr>
        <w:pStyle w:val="6"/>
        <w:jc w:val="center"/>
        <w:rPr>
          <w:rFonts w:hint="eastAsia" w:ascii="仿宋" w:hAnsi="仿宋" w:eastAsia="仿宋" w:cs="仿宋"/>
          <w:kern w:val="2"/>
          <w:sz w:val="32"/>
          <w:szCs w:val="32"/>
          <w:lang w:val="en-US" w:eastAsia="zh-CN" w:bidi="ar-SA"/>
        </w:rPr>
      </w:pPr>
    </w:p>
    <w:p w14:paraId="29435FD9">
      <w:pPr>
        <w:pStyle w:val="6"/>
        <w:jc w:val="both"/>
        <w:rPr>
          <w:rFonts w:hint="eastAsia" w:ascii="仿宋" w:hAnsi="仿宋" w:eastAsia="仿宋" w:cs="仿宋"/>
          <w:kern w:val="2"/>
          <w:sz w:val="32"/>
          <w:szCs w:val="32"/>
          <w:lang w:val="en-US" w:eastAsia="zh-CN" w:bidi="ar-SA"/>
        </w:rPr>
      </w:pPr>
    </w:p>
    <w:p w14:paraId="4BAF2F0D">
      <w:pPr>
        <w:keepNext w:val="0"/>
        <w:keepLines w:val="0"/>
        <w:pageBreakBefore w:val="0"/>
        <w:kinsoku/>
        <w:wordWrap/>
        <w:overflowPunct/>
        <w:topLinePunct w:val="0"/>
        <w:autoSpaceDE/>
        <w:autoSpaceDN/>
        <w:bidi w:val="0"/>
        <w:adjustRightInd/>
        <w:snapToGrid/>
        <w:spacing w:line="360" w:lineRule="auto"/>
        <w:ind w:firstLine="3360" w:firstLineChars="1200"/>
        <w:jc w:val="both"/>
        <w:textAlignment w:val="auto"/>
        <w:rPr>
          <w:rFonts w:hint="default" w:ascii="宋体" w:hAnsi="宋体" w:eastAsia="宋体" w:cs="宋体"/>
          <w:sz w:val="28"/>
          <w:szCs w:val="28"/>
          <w:lang w:val="en-US" w:eastAsia="zh-CN"/>
        </w:rPr>
      </w:pPr>
      <w:r>
        <w:rPr>
          <w:rFonts w:hint="eastAsia" w:ascii="仿宋" w:hAnsi="仿宋" w:eastAsia="仿宋" w:cs="仿宋"/>
          <w:kern w:val="2"/>
          <w:sz w:val="28"/>
          <w:szCs w:val="28"/>
          <w:lang w:val="en-US" w:eastAsia="zh-CN" w:bidi="ar-SA"/>
        </w:rPr>
        <w:t xml:space="preserve"> </w:t>
      </w:r>
      <w:r>
        <w:rPr>
          <w:rFonts w:hint="eastAsia" w:ascii="宋体" w:hAnsi="宋体" w:eastAsia="宋体" w:cs="宋体"/>
          <w:sz w:val="28"/>
          <w:szCs w:val="28"/>
          <w:lang w:val="en-US" w:eastAsia="zh-CN"/>
        </w:rPr>
        <w:t>图2孙洪伟</w:t>
      </w:r>
      <w:r>
        <w:rPr>
          <w:rFonts w:hint="eastAsia" w:ascii="宋体" w:hAnsi="宋体" w:cs="宋体"/>
          <w:sz w:val="28"/>
          <w:szCs w:val="28"/>
          <w:lang w:val="en-US" w:eastAsia="zh-CN"/>
        </w:rPr>
        <w:t>坠落</w:t>
      </w:r>
      <w:r>
        <w:rPr>
          <w:rFonts w:hint="eastAsia" w:ascii="宋体" w:hAnsi="宋体" w:eastAsia="宋体" w:cs="宋体"/>
          <w:sz w:val="28"/>
          <w:szCs w:val="28"/>
          <w:lang w:val="en-US" w:eastAsia="zh-CN"/>
        </w:rPr>
        <w:t>位置</w:t>
      </w:r>
    </w:p>
    <w:p w14:paraId="5795501B">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p>
    <w:p w14:paraId="1A19DB3B">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drawing>
          <wp:anchor distT="0" distB="0" distL="114300" distR="114300" simplePos="0" relativeHeight="251664384" behindDoc="0" locked="0" layoutInCell="1" allowOverlap="1">
            <wp:simplePos x="0" y="0"/>
            <wp:positionH relativeFrom="column">
              <wp:posOffset>1226820</wp:posOffset>
            </wp:positionH>
            <wp:positionV relativeFrom="paragraph">
              <wp:posOffset>107950</wp:posOffset>
            </wp:positionV>
            <wp:extent cx="2830195" cy="3827780"/>
            <wp:effectExtent l="0" t="0" r="1905" b="7620"/>
            <wp:wrapNone/>
            <wp:docPr id="8" name="图片 8" descr="76340ef854a94bf7db86e5cb4a8c6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6340ef854a94bf7db86e5cb4a8c6d90"/>
                    <pic:cNvPicPr>
                      <a:picLocks noChangeAspect="1"/>
                    </pic:cNvPicPr>
                  </pic:nvPicPr>
                  <pic:blipFill>
                    <a:blip r:embed="rId9"/>
                    <a:stretch>
                      <a:fillRect/>
                    </a:stretch>
                  </pic:blipFill>
                  <pic:spPr>
                    <a:xfrm>
                      <a:off x="0" y="0"/>
                      <a:ext cx="2830195" cy="3827780"/>
                    </a:xfrm>
                    <a:prstGeom prst="rect">
                      <a:avLst/>
                    </a:prstGeom>
                  </pic:spPr>
                </pic:pic>
              </a:graphicData>
            </a:graphic>
          </wp:anchor>
        </w:drawing>
      </w:r>
    </w:p>
    <w:p w14:paraId="6EA2C3CA">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71A35524">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1A7E2976">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3AF75075">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78FA61BA">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4180AE9A">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4B05B87A">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270FBEAF">
      <w:pPr>
        <w:keepNext w:val="0"/>
        <w:keepLines w:val="0"/>
        <w:pageBreakBefore w:val="0"/>
        <w:numPr>
          <w:ilvl w:val="0"/>
          <w:numId w:val="0"/>
        </w:numPr>
        <w:kinsoku/>
        <w:wordWrap/>
        <w:overflowPunct/>
        <w:topLinePunct w:val="0"/>
        <w:autoSpaceDE/>
        <w:autoSpaceDN/>
        <w:bidi w:val="0"/>
        <w:adjustRightInd/>
        <w:spacing w:line="560" w:lineRule="exact"/>
        <w:jc w:val="both"/>
        <w:textAlignment w:val="auto"/>
        <w:rPr>
          <w:rFonts w:hint="eastAsia" w:ascii="楷体_GB2312" w:hAnsi="楷体_GB2312" w:eastAsia="楷体_GB2312" w:cs="楷体_GB2312"/>
          <w:b/>
          <w:color w:val="000000"/>
          <w:kern w:val="2"/>
          <w:sz w:val="32"/>
          <w:szCs w:val="32"/>
          <w:lang w:val="en-US" w:eastAsia="zh-CN" w:bidi="ar-SA"/>
        </w:rPr>
      </w:pPr>
    </w:p>
    <w:p w14:paraId="3AE5B933">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lang w:val="en-US" w:eastAsia="zh-CN"/>
        </w:rPr>
      </w:pPr>
    </w:p>
    <w:p w14:paraId="5087B74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14:paraId="1AC5BEEA">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图3 </w:t>
      </w:r>
      <w:r>
        <w:rPr>
          <w:rFonts w:hint="eastAsia" w:ascii="宋体" w:hAnsi="宋体" w:cs="宋体"/>
          <w:sz w:val="28"/>
          <w:szCs w:val="28"/>
          <w:lang w:val="en-US" w:eastAsia="zh-CN"/>
        </w:rPr>
        <w:t>坠落</w:t>
      </w:r>
      <w:r>
        <w:rPr>
          <w:rFonts w:hint="eastAsia" w:ascii="宋体" w:hAnsi="宋体" w:eastAsia="宋体" w:cs="宋体"/>
          <w:sz w:val="28"/>
          <w:szCs w:val="28"/>
          <w:lang w:val="en-US" w:eastAsia="zh-CN"/>
        </w:rPr>
        <w:t>高度</w:t>
      </w:r>
    </w:p>
    <w:p w14:paraId="2825067C">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drawing>
          <wp:anchor distT="0" distB="0" distL="114300" distR="114300" simplePos="0" relativeHeight="251663360" behindDoc="0" locked="0" layoutInCell="1" allowOverlap="1">
            <wp:simplePos x="0" y="0"/>
            <wp:positionH relativeFrom="column">
              <wp:posOffset>1240155</wp:posOffset>
            </wp:positionH>
            <wp:positionV relativeFrom="paragraph">
              <wp:posOffset>205105</wp:posOffset>
            </wp:positionV>
            <wp:extent cx="2976880" cy="3616325"/>
            <wp:effectExtent l="0" t="0" r="13970" b="3175"/>
            <wp:wrapNone/>
            <wp:docPr id="7" name="图片 7" descr="e2645ad6bbe8ce183da735ad0971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645ad6bbe8ce183da735ad09712d00"/>
                    <pic:cNvPicPr>
                      <a:picLocks noChangeAspect="1"/>
                    </pic:cNvPicPr>
                  </pic:nvPicPr>
                  <pic:blipFill>
                    <a:blip r:embed="rId10">
                      <a:lum bright="-6000"/>
                    </a:blip>
                    <a:stretch>
                      <a:fillRect/>
                    </a:stretch>
                  </pic:blipFill>
                  <pic:spPr>
                    <a:xfrm>
                      <a:off x="0" y="0"/>
                      <a:ext cx="2976880" cy="3616325"/>
                    </a:xfrm>
                    <a:prstGeom prst="rect">
                      <a:avLst/>
                    </a:prstGeom>
                  </pic:spPr>
                </pic:pic>
              </a:graphicData>
            </a:graphic>
          </wp:anchor>
        </w:drawing>
      </w:r>
    </w:p>
    <w:p w14:paraId="28AD8436">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5544C6A6">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735E26A1">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22EFD063">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6FE62017">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2CF9AD58">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7A3A2A93">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048B0CC8">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438CF9D2">
      <w:pPr>
        <w:keepNext w:val="0"/>
        <w:keepLines w:val="0"/>
        <w:pageBreakBefore w:val="0"/>
        <w:numPr>
          <w:ilvl w:val="0"/>
          <w:numId w:val="0"/>
        </w:numPr>
        <w:kinsoku/>
        <w:wordWrap/>
        <w:overflowPunct/>
        <w:topLinePunct w:val="0"/>
        <w:autoSpaceDE/>
        <w:autoSpaceDN/>
        <w:bidi w:val="0"/>
        <w:adjustRightInd/>
        <w:spacing w:line="560" w:lineRule="exact"/>
        <w:jc w:val="both"/>
        <w:textAlignment w:val="auto"/>
        <w:rPr>
          <w:rFonts w:hint="eastAsia" w:ascii="楷体_GB2312" w:hAnsi="楷体_GB2312" w:eastAsia="楷体_GB2312" w:cs="楷体_GB2312"/>
          <w:b/>
          <w:color w:val="000000"/>
          <w:kern w:val="2"/>
          <w:sz w:val="32"/>
          <w:szCs w:val="32"/>
          <w:lang w:val="en-US" w:eastAsia="zh-CN" w:bidi="ar-SA"/>
        </w:rPr>
      </w:pPr>
    </w:p>
    <w:p w14:paraId="184BE18A">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p>
    <w:p w14:paraId="73353B56">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8"/>
          <w:szCs w:val="28"/>
          <w:lang w:val="en-US" w:eastAsia="zh-CN"/>
        </w:rPr>
        <w:t xml:space="preserve">图4 </w:t>
      </w:r>
      <w:r>
        <w:rPr>
          <w:rFonts w:hint="eastAsia" w:ascii="宋体" w:hAnsi="宋体" w:cs="宋体"/>
          <w:sz w:val="28"/>
          <w:szCs w:val="28"/>
          <w:lang w:val="en-US" w:eastAsia="zh-CN"/>
        </w:rPr>
        <w:t>坠落</w:t>
      </w:r>
      <w:r>
        <w:rPr>
          <w:rFonts w:hint="eastAsia" w:ascii="宋体" w:hAnsi="宋体" w:eastAsia="宋体" w:cs="宋体"/>
          <w:sz w:val="28"/>
          <w:szCs w:val="28"/>
          <w:lang w:val="en-US" w:eastAsia="zh-CN"/>
        </w:rPr>
        <w:t>高度</w:t>
      </w:r>
    </w:p>
    <w:p w14:paraId="25E70F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auto"/>
          <w:kern w:val="2"/>
          <w:sz w:val="32"/>
          <w:szCs w:val="32"/>
          <w:lang w:val="en-US" w:eastAsia="zh-CN" w:bidi="ar-SA"/>
        </w:rPr>
      </w:pPr>
      <w:r>
        <w:rPr>
          <w:rFonts w:hint="eastAsia" w:ascii="楷体_GB2312" w:hAnsi="楷体_GB2312" w:eastAsia="楷体_GB2312" w:cs="楷体_GB2312"/>
          <w:b/>
          <w:color w:val="auto"/>
          <w:kern w:val="2"/>
          <w:sz w:val="32"/>
          <w:szCs w:val="32"/>
          <w:lang w:val="en-US" w:eastAsia="zh-CN" w:bidi="ar-SA"/>
        </w:rPr>
        <w:t>（二）事故救援情况</w:t>
      </w:r>
    </w:p>
    <w:p w14:paraId="4FC8AF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b w:val="0"/>
          <w:bCs w:val="0"/>
          <w:kern w:val="0"/>
          <w:sz w:val="32"/>
          <w:szCs w:val="32"/>
          <w:lang w:val="en-US" w:eastAsia="zh-CN"/>
        </w:rPr>
      </w:pPr>
      <w:r>
        <w:rPr>
          <w:rFonts w:hint="eastAsia" w:ascii="仿宋_GB2312" w:hAnsi="仿宋" w:eastAsia="仿宋_GB2312" w:cs="Times New Roman"/>
          <w:color w:val="000000"/>
          <w:kern w:val="2"/>
          <w:sz w:val="32"/>
          <w:szCs w:val="32"/>
          <w:lang w:val="en-US" w:eastAsia="zh-CN" w:bidi="ar-SA"/>
        </w:rPr>
        <w:t>姜中成发现孙洪伟坠落后立即从玻璃房上回到地面，去往玻璃房旁边的特警休息室呼喊特警帮忙组织施救，特警人员拨打了110及119电话，告诉姜中成拨打120急救电话，在等待救援过程中，姜中成给杨磊打电话，告知孙洪伟受伤。</w:t>
      </w:r>
      <w:r>
        <w:rPr>
          <w:rFonts w:hint="eastAsia" w:ascii="仿宋_GB2312" w:hAnsi="仿宋" w:eastAsia="仿宋_GB2312" w:cs="Times New Roman"/>
          <w:color w:val="000000"/>
          <w:kern w:val="2"/>
          <w:sz w:val="32"/>
          <w:szCs w:val="32"/>
          <w:highlight w:val="none"/>
          <w:lang w:val="en-US" w:eastAsia="zh-CN" w:bidi="ar-SA"/>
        </w:rPr>
        <w:t>事故发生约15分钟后，12</w:t>
      </w:r>
      <w:r>
        <w:rPr>
          <w:rFonts w:hint="eastAsia" w:ascii="仿宋_GB2312" w:hAnsi="仿宋" w:eastAsia="仿宋_GB2312" w:cs="Times New Roman"/>
          <w:color w:val="000000"/>
          <w:kern w:val="2"/>
          <w:sz w:val="32"/>
          <w:szCs w:val="32"/>
          <w:lang w:val="en-US" w:eastAsia="zh-CN" w:bidi="ar-SA"/>
        </w:rPr>
        <w:t>0急救人员到达现场，伤者孙洪伟被送往抚矿总医院就医处置，并于当日下午转院至北部战区总医院进行手术治疗。</w:t>
      </w:r>
    </w:p>
    <w:p w14:paraId="6B666F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（三）事故报告情况</w:t>
      </w:r>
    </w:p>
    <w:p w14:paraId="227A32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highlight w:val="none"/>
          <w:lang w:val="en-US" w:eastAsia="zh-CN" w:bidi="ar-SA"/>
        </w:rPr>
        <w:t>在120急救人员到达事发现场前，杨磊电话报告尤宝利发生了事故。杨磊认为孙洪伟仅是受伤（住院17天后便出院，据杨磊所述可与其正常交流），有特警人员拨打了110，故未向辽宁鑫合</w:t>
      </w:r>
      <w:r>
        <w:rPr>
          <w:rFonts w:hint="eastAsia" w:ascii="仿宋_GB2312" w:hAnsi="仿宋" w:eastAsia="仿宋_GB2312" w:cs="Times New Roman"/>
          <w:color w:val="000000"/>
          <w:kern w:val="2"/>
          <w:sz w:val="32"/>
          <w:szCs w:val="32"/>
          <w:lang w:val="en-US" w:eastAsia="zh-CN" w:bidi="ar-SA"/>
        </w:rPr>
        <w:t>公司法定代表人杨长林报告事故，</w:t>
      </w:r>
      <w:r>
        <w:rPr>
          <w:rFonts w:hint="eastAsia" w:ascii="仿宋" w:hAnsi="仿宋" w:eastAsia="仿宋" w:cs="仿宋"/>
          <w:kern w:val="2"/>
          <w:sz w:val="32"/>
          <w:szCs w:val="32"/>
          <w:lang w:val="en-US" w:eastAsia="zh-CN" w:bidi="ar-SA"/>
        </w:rPr>
        <w:t>未向事故发生地县级以上人民政府安全生产监督管理部门报告</w:t>
      </w:r>
      <w:r>
        <w:rPr>
          <w:rFonts w:hint="eastAsia" w:ascii="仿宋_GB2312" w:hAnsi="仿宋" w:eastAsia="仿宋_GB2312" w:cs="Times New Roman"/>
          <w:color w:val="000000"/>
          <w:kern w:val="2"/>
          <w:sz w:val="32"/>
          <w:szCs w:val="32"/>
          <w:lang w:val="en-US" w:eastAsia="zh-CN" w:bidi="ar-SA"/>
        </w:rPr>
        <w:t>。</w:t>
      </w:r>
    </w:p>
    <w:p w14:paraId="6B099A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 xml:space="preserve">（四）医疗救治诊断情况 </w:t>
      </w:r>
    </w:p>
    <w:p w14:paraId="2A61EC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r>
        <w:rPr>
          <w:rFonts w:hint="eastAsia" w:ascii="仿宋_GB2312" w:hAnsi="仿宋" w:eastAsia="仿宋_GB2312" w:cs="Times New Roman"/>
          <w:color w:val="000000"/>
          <w:kern w:val="2"/>
          <w:sz w:val="32"/>
          <w:szCs w:val="32"/>
          <w:highlight w:val="none"/>
          <w:lang w:val="en-US" w:eastAsia="zh-CN" w:bidi="ar-SA"/>
        </w:rPr>
        <w:t>1.抚矿总医院急诊病历门诊诊断：复合性外伤；闭合性颅脑损伤轻型。</w:t>
      </w:r>
    </w:p>
    <w:p w14:paraId="785872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r>
        <w:rPr>
          <w:rFonts w:hint="eastAsia" w:ascii="仿宋_GB2312" w:hAnsi="仿宋" w:eastAsia="仿宋_GB2312" w:cs="Times New Roman"/>
          <w:color w:val="000000"/>
          <w:kern w:val="2"/>
          <w:sz w:val="32"/>
          <w:szCs w:val="32"/>
          <w:highlight w:val="none"/>
          <w:lang w:val="en-US" w:eastAsia="zh-CN" w:bidi="ar-SA"/>
        </w:rPr>
        <w:t>2.北部战区总医院出院诊断：1.中型开放性颅脑损伤；2.左侧颞顶部凹陷性骨折；3.左侧顶部硬膜外血肿；4.左侧额颞顶部硬膜下血肿；5.左侧额叶脑内血肿及脑挫裂伤；6.左侧颞部脑挫裂伤；7.左侧颧弓骨折；8.蝶窦窦壁骨折；9.左颧部皮肤裂伤；10.左侧颞顶部皮肤撕脱伤；11.右前臂及左腕部多处皮肤裂伤；12.右膝部多处擦挫伤；13.左前臂、左腕周围软组织损伤及皮下积气；14.双肺肺炎。</w:t>
      </w:r>
    </w:p>
    <w:p w14:paraId="533161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Times New Roman"/>
          <w:color w:val="000000"/>
          <w:kern w:val="2"/>
          <w:sz w:val="32"/>
          <w:szCs w:val="32"/>
          <w:highlight w:val="none"/>
          <w:lang w:val="en-US" w:eastAsia="zh-CN" w:bidi="ar-SA"/>
        </w:rPr>
      </w:pPr>
      <w:r>
        <w:rPr>
          <w:rFonts w:hint="eastAsia" w:ascii="仿宋_GB2312" w:hAnsi="仿宋" w:eastAsia="仿宋_GB2312" w:cs="Times New Roman"/>
          <w:color w:val="000000"/>
          <w:kern w:val="2"/>
          <w:sz w:val="32"/>
          <w:szCs w:val="32"/>
          <w:highlight w:val="none"/>
          <w:lang w:val="en-US" w:eastAsia="zh-CN" w:bidi="ar-SA"/>
        </w:rPr>
        <w:t>事故发生后，杨磊垫付了部分医疗费用，市人防中心要求辽宁鑫合公司妥善处理。</w:t>
      </w:r>
    </w:p>
    <w:p w14:paraId="05E203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r>
        <w:rPr>
          <w:rFonts w:hint="eastAsia" w:ascii="仿宋_GB2312" w:hAnsi="仿宋" w:eastAsia="仿宋_GB2312" w:cs="Times New Roman"/>
          <w:color w:val="000000"/>
          <w:kern w:val="2"/>
          <w:sz w:val="32"/>
          <w:szCs w:val="32"/>
          <w:highlight w:val="none"/>
          <w:lang w:val="en-US" w:eastAsia="zh-CN" w:bidi="ar-SA"/>
        </w:rPr>
        <w:drawing>
          <wp:anchor distT="0" distB="0" distL="114300" distR="114300" simplePos="0" relativeHeight="251665408" behindDoc="0" locked="0" layoutInCell="1" allowOverlap="1">
            <wp:simplePos x="0" y="0"/>
            <wp:positionH relativeFrom="column">
              <wp:posOffset>-150495</wp:posOffset>
            </wp:positionH>
            <wp:positionV relativeFrom="paragraph">
              <wp:posOffset>180340</wp:posOffset>
            </wp:positionV>
            <wp:extent cx="5760085" cy="7242810"/>
            <wp:effectExtent l="0" t="0" r="12065" b="15240"/>
            <wp:wrapNone/>
            <wp:docPr id="6" name="图片 6" descr="a4352f889c76d2d902ca61b68e95a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4352f889c76d2d902ca61b68e95a612"/>
                    <pic:cNvPicPr>
                      <a:picLocks noChangeAspect="1"/>
                    </pic:cNvPicPr>
                  </pic:nvPicPr>
                  <pic:blipFill>
                    <a:blip r:embed="rId11"/>
                    <a:stretch>
                      <a:fillRect/>
                    </a:stretch>
                  </pic:blipFill>
                  <pic:spPr>
                    <a:xfrm>
                      <a:off x="0" y="0"/>
                      <a:ext cx="5760085" cy="7242810"/>
                    </a:xfrm>
                    <a:prstGeom prst="rect">
                      <a:avLst/>
                    </a:prstGeom>
                  </pic:spPr>
                </pic:pic>
              </a:graphicData>
            </a:graphic>
          </wp:anchor>
        </w:drawing>
      </w:r>
    </w:p>
    <w:p w14:paraId="3EA4897E">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Times New Roman"/>
          <w:color w:val="000000"/>
          <w:kern w:val="2"/>
          <w:sz w:val="32"/>
          <w:szCs w:val="32"/>
          <w:highlight w:val="none"/>
          <w:lang w:val="en-US" w:eastAsia="zh-CN" w:bidi="ar-SA"/>
        </w:rPr>
      </w:pPr>
    </w:p>
    <w:p w14:paraId="29725BF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59FAC1C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6CA699E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6513C9D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2D0E1D6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18D30E4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5B1366F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36348085">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Times New Roman"/>
          <w:color w:val="000000"/>
          <w:kern w:val="2"/>
          <w:sz w:val="32"/>
          <w:szCs w:val="32"/>
          <w:highlight w:val="none"/>
          <w:lang w:val="en-US" w:eastAsia="zh-CN" w:bidi="ar-SA"/>
        </w:rPr>
      </w:pPr>
    </w:p>
    <w:p w14:paraId="0FAA1C9E">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sz w:val="28"/>
          <w:szCs w:val="28"/>
          <w:lang w:val="en-US" w:eastAsia="zh-CN"/>
        </w:rPr>
      </w:pPr>
    </w:p>
    <w:p w14:paraId="49D59AF2">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sz w:val="28"/>
          <w:szCs w:val="28"/>
          <w:lang w:val="en-US" w:eastAsia="zh-CN"/>
        </w:rPr>
      </w:pPr>
    </w:p>
    <w:p w14:paraId="2177A41A">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sz w:val="28"/>
          <w:szCs w:val="28"/>
          <w:lang w:val="en-US" w:eastAsia="zh-CN"/>
        </w:rPr>
      </w:pPr>
    </w:p>
    <w:p w14:paraId="1A303BFF">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sz w:val="28"/>
          <w:szCs w:val="28"/>
          <w:lang w:val="en-US" w:eastAsia="zh-CN"/>
        </w:rPr>
      </w:pPr>
    </w:p>
    <w:p w14:paraId="7FA23B2F">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sz w:val="28"/>
          <w:szCs w:val="28"/>
          <w:lang w:val="en-US" w:eastAsia="zh-CN"/>
        </w:rPr>
      </w:pPr>
    </w:p>
    <w:p w14:paraId="76820C21">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sz w:val="28"/>
          <w:szCs w:val="28"/>
          <w:lang w:val="en-US" w:eastAsia="zh-CN"/>
        </w:rPr>
      </w:pPr>
    </w:p>
    <w:p w14:paraId="0DCAFF3B">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14:paraId="0F4D8108">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14:paraId="1C5E7A31">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lang w:val="en-US" w:eastAsia="zh-CN"/>
        </w:rPr>
      </w:pPr>
    </w:p>
    <w:p w14:paraId="5F87372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lang w:val="en-US" w:eastAsia="zh-CN"/>
        </w:rPr>
      </w:pPr>
    </w:p>
    <w:p w14:paraId="5DB0B7B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图</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 xml:space="preserve"> </w:t>
      </w:r>
      <w:r>
        <w:rPr>
          <w:rFonts w:hint="eastAsia" w:ascii="宋体" w:hAnsi="宋体" w:eastAsia="宋体" w:cs="宋体"/>
          <w:kern w:val="2"/>
          <w:sz w:val="28"/>
          <w:szCs w:val="28"/>
          <w:lang w:val="en-US" w:eastAsia="zh-CN" w:bidi="ar-SA"/>
        </w:rPr>
        <w:t>抚矿总医院急诊病历门诊诊断</w:t>
      </w:r>
    </w:p>
    <w:p w14:paraId="66969C29">
      <w:pPr>
        <w:keepNext w:val="0"/>
        <w:keepLines w:val="0"/>
        <w:pageBreakBefore w:val="0"/>
        <w:kinsoku/>
        <w:wordWrap/>
        <w:overflowPunct/>
        <w:topLinePunct w:val="0"/>
        <w:autoSpaceDE/>
        <w:autoSpaceDN/>
        <w:bidi w:val="0"/>
        <w:adjustRightInd/>
        <w:snapToGrid/>
        <w:spacing w:line="360" w:lineRule="auto"/>
        <w:ind w:firstLine="960" w:firstLineChars="300"/>
        <w:jc w:val="both"/>
        <w:textAlignment w:val="auto"/>
        <w:rPr>
          <w:rFonts w:hint="eastAsia" w:ascii="宋体" w:hAnsi="宋体" w:eastAsia="宋体" w:cs="宋体"/>
          <w:kern w:val="2"/>
          <w:sz w:val="28"/>
          <w:szCs w:val="28"/>
          <w:lang w:val="en-US" w:eastAsia="zh-CN" w:bidi="ar-SA"/>
        </w:rPr>
      </w:pPr>
      <w:r>
        <w:rPr>
          <w:rFonts w:hint="eastAsia" w:ascii="仿宋_GB2312" w:hAnsi="仿宋" w:eastAsia="仿宋_GB2312" w:cs="Times New Roman"/>
          <w:color w:val="000000"/>
          <w:kern w:val="2"/>
          <w:sz w:val="32"/>
          <w:szCs w:val="32"/>
          <w:highlight w:val="none"/>
          <w:lang w:val="en-US" w:eastAsia="zh-CN" w:bidi="ar-SA"/>
        </w:rPr>
        <w:drawing>
          <wp:anchor distT="0" distB="0" distL="114300" distR="114300" simplePos="0" relativeHeight="251659264" behindDoc="0" locked="0" layoutInCell="1" allowOverlap="1">
            <wp:simplePos x="0" y="0"/>
            <wp:positionH relativeFrom="column">
              <wp:posOffset>12700</wp:posOffset>
            </wp:positionH>
            <wp:positionV relativeFrom="paragraph">
              <wp:posOffset>-14605</wp:posOffset>
            </wp:positionV>
            <wp:extent cx="5483860" cy="8159750"/>
            <wp:effectExtent l="0" t="0" r="2540" b="12700"/>
            <wp:wrapNone/>
            <wp:docPr id="5" name="图片 5" descr="2876899cc26f0652a434db2142385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876899cc26f0652a434db2142385ab1"/>
                    <pic:cNvPicPr>
                      <a:picLocks noChangeAspect="1"/>
                    </pic:cNvPicPr>
                  </pic:nvPicPr>
                  <pic:blipFill>
                    <a:blip r:embed="rId12"/>
                    <a:stretch>
                      <a:fillRect/>
                    </a:stretch>
                  </pic:blipFill>
                  <pic:spPr>
                    <a:xfrm>
                      <a:off x="0" y="0"/>
                      <a:ext cx="5483860" cy="8159750"/>
                    </a:xfrm>
                    <a:prstGeom prst="rect">
                      <a:avLst/>
                    </a:prstGeom>
                  </pic:spPr>
                </pic:pic>
              </a:graphicData>
            </a:graphic>
          </wp:anchor>
        </w:drawing>
      </w:r>
    </w:p>
    <w:p w14:paraId="6E9F73EE">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kern w:val="2"/>
          <w:sz w:val="28"/>
          <w:szCs w:val="28"/>
          <w:lang w:val="en-US" w:eastAsia="zh-CN" w:bidi="ar-SA"/>
        </w:rPr>
      </w:pPr>
    </w:p>
    <w:p w14:paraId="1B8BB775">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kern w:val="2"/>
          <w:sz w:val="28"/>
          <w:szCs w:val="28"/>
          <w:lang w:val="en-US" w:eastAsia="zh-CN" w:bidi="ar-SA"/>
        </w:rPr>
      </w:pPr>
    </w:p>
    <w:p w14:paraId="3593CCF8">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kern w:val="2"/>
          <w:sz w:val="28"/>
          <w:szCs w:val="28"/>
          <w:lang w:val="en-US" w:eastAsia="zh-CN" w:bidi="ar-SA"/>
        </w:rPr>
      </w:pPr>
    </w:p>
    <w:p w14:paraId="69AC1C1F">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kern w:val="2"/>
          <w:sz w:val="28"/>
          <w:szCs w:val="28"/>
          <w:lang w:val="en-US" w:eastAsia="zh-CN" w:bidi="ar-SA"/>
        </w:rPr>
      </w:pPr>
    </w:p>
    <w:p w14:paraId="6B55C32C">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kern w:val="2"/>
          <w:sz w:val="28"/>
          <w:szCs w:val="28"/>
          <w:lang w:val="en-US" w:eastAsia="zh-CN" w:bidi="ar-SA"/>
        </w:rPr>
      </w:pPr>
    </w:p>
    <w:p w14:paraId="2A839309">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kern w:val="2"/>
          <w:sz w:val="28"/>
          <w:szCs w:val="28"/>
          <w:lang w:val="en-US" w:eastAsia="zh-CN" w:bidi="ar-SA"/>
        </w:rPr>
      </w:pPr>
    </w:p>
    <w:p w14:paraId="439BFBE7">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kern w:val="2"/>
          <w:sz w:val="28"/>
          <w:szCs w:val="28"/>
          <w:lang w:val="en-US" w:eastAsia="zh-CN" w:bidi="ar-SA"/>
        </w:rPr>
      </w:pPr>
    </w:p>
    <w:p w14:paraId="045CA00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653D123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5D85551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6CFE2F4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2E38169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249373C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2EE351C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highlight w:val="none"/>
          <w:lang w:val="en-US" w:eastAsia="zh-CN" w:bidi="ar-SA"/>
        </w:rPr>
      </w:pPr>
    </w:p>
    <w:p w14:paraId="751E0939">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Times New Roman"/>
          <w:color w:val="000000"/>
          <w:kern w:val="2"/>
          <w:sz w:val="32"/>
          <w:szCs w:val="32"/>
          <w:highlight w:val="none"/>
          <w:lang w:val="en-US" w:eastAsia="zh-CN" w:bidi="ar-SA"/>
        </w:rPr>
      </w:pPr>
    </w:p>
    <w:p w14:paraId="0EC6D2AF">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Times New Roman"/>
          <w:color w:val="000000"/>
          <w:kern w:val="2"/>
          <w:sz w:val="32"/>
          <w:szCs w:val="32"/>
          <w:highlight w:val="none"/>
          <w:lang w:val="en-US" w:eastAsia="zh-CN" w:bidi="ar-SA"/>
        </w:rPr>
      </w:pPr>
    </w:p>
    <w:p w14:paraId="233880B3">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Times New Roman"/>
          <w:color w:val="000000"/>
          <w:kern w:val="2"/>
          <w:sz w:val="32"/>
          <w:szCs w:val="32"/>
          <w:highlight w:val="none"/>
          <w:lang w:val="en-US" w:eastAsia="zh-CN" w:bidi="ar-SA"/>
        </w:rPr>
      </w:pPr>
    </w:p>
    <w:p w14:paraId="281523C6">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Times New Roman"/>
          <w:color w:val="000000"/>
          <w:kern w:val="2"/>
          <w:sz w:val="32"/>
          <w:szCs w:val="32"/>
          <w:highlight w:val="none"/>
          <w:lang w:val="en-US" w:eastAsia="zh-CN" w:bidi="ar-SA"/>
        </w:rPr>
      </w:pPr>
    </w:p>
    <w:p w14:paraId="1A75BB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 w:eastAsia="仿宋_GB2312" w:cs="Times New Roman"/>
          <w:color w:val="000000"/>
          <w:kern w:val="2"/>
          <w:sz w:val="32"/>
          <w:szCs w:val="32"/>
          <w:highlight w:val="none"/>
          <w:lang w:val="en-US" w:eastAsia="zh-CN" w:bidi="ar-SA"/>
        </w:rPr>
      </w:pPr>
    </w:p>
    <w:p w14:paraId="6DB6A378">
      <w:pPr>
        <w:keepNext w:val="0"/>
        <w:keepLines w:val="0"/>
        <w:pageBreakBefore w:val="0"/>
        <w:kinsoku/>
        <w:wordWrap/>
        <w:overflowPunct/>
        <w:topLinePunct w:val="0"/>
        <w:autoSpaceDE/>
        <w:autoSpaceDN/>
        <w:bidi w:val="0"/>
        <w:adjustRightInd/>
        <w:snapToGrid/>
        <w:spacing w:line="360" w:lineRule="auto"/>
        <w:ind w:firstLine="840" w:firstLineChars="300"/>
        <w:jc w:val="both"/>
        <w:textAlignment w:val="auto"/>
        <w:rPr>
          <w:rFonts w:hint="eastAsia" w:ascii="宋体" w:hAnsi="宋体" w:eastAsia="宋体" w:cs="宋体"/>
          <w:sz w:val="28"/>
          <w:szCs w:val="28"/>
          <w:lang w:val="en-US" w:eastAsia="zh-CN"/>
        </w:rPr>
      </w:pPr>
    </w:p>
    <w:p w14:paraId="3BCBC86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2"/>
          <w:sz w:val="28"/>
          <w:szCs w:val="28"/>
          <w:lang w:val="en-US" w:eastAsia="zh-CN" w:bidi="ar-SA"/>
        </w:rPr>
      </w:pPr>
    </w:p>
    <w:p w14:paraId="0AFF51D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bCs/>
          <w:kern w:val="1"/>
          <w:sz w:val="32"/>
          <w:szCs w:val="32"/>
          <w:lang w:val="en-US" w:eastAsia="zh-CN"/>
        </w:rPr>
      </w:pPr>
      <w:r>
        <w:rPr>
          <w:rFonts w:hint="eastAsia" w:ascii="宋体" w:hAnsi="宋体" w:eastAsia="宋体" w:cs="宋体"/>
          <w:kern w:val="2"/>
          <w:sz w:val="28"/>
          <w:szCs w:val="28"/>
          <w:lang w:val="en-US" w:eastAsia="zh-CN" w:bidi="ar-SA"/>
        </w:rPr>
        <w:t>图</w:t>
      </w:r>
      <w:r>
        <w:rPr>
          <w:rFonts w:hint="eastAsia" w:ascii="宋体" w:hAnsi="宋体" w:cs="宋体"/>
          <w:kern w:val="2"/>
          <w:sz w:val="28"/>
          <w:szCs w:val="28"/>
          <w:lang w:val="en-US" w:eastAsia="zh-CN" w:bidi="ar-SA"/>
        </w:rPr>
        <w:t>6</w:t>
      </w:r>
      <w:r>
        <w:rPr>
          <w:rFonts w:hint="eastAsia" w:ascii="宋体" w:hAnsi="宋体" w:eastAsia="宋体" w:cs="宋体"/>
          <w:kern w:val="2"/>
          <w:sz w:val="28"/>
          <w:szCs w:val="28"/>
          <w:lang w:val="en-US" w:eastAsia="zh-CN" w:bidi="ar-SA"/>
        </w:rPr>
        <w:t>北部战区总医院出院诊断</w:t>
      </w:r>
    </w:p>
    <w:p w14:paraId="0FF5CA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0" w:firstLineChars="100"/>
        <w:jc w:val="left"/>
        <w:textAlignment w:val="auto"/>
        <w:rPr>
          <w:rFonts w:hint="eastAsia" w:ascii="黑体" w:hAnsi="黑体" w:eastAsia="黑体" w:cs="黑体"/>
          <w:bCs/>
          <w:kern w:val="1"/>
          <w:sz w:val="32"/>
          <w:szCs w:val="32"/>
          <w:lang w:eastAsia="zh-CN"/>
        </w:rPr>
      </w:pPr>
      <w:r>
        <w:rPr>
          <w:rFonts w:hint="eastAsia" w:ascii="黑体" w:hAnsi="黑体" w:eastAsia="黑体" w:cs="黑体"/>
          <w:bCs/>
          <w:kern w:val="1"/>
          <w:sz w:val="32"/>
          <w:szCs w:val="32"/>
          <w:lang w:val="en-US" w:eastAsia="zh-CN"/>
        </w:rPr>
        <w:t>三、</w:t>
      </w:r>
      <w:r>
        <w:rPr>
          <w:rFonts w:ascii="黑体" w:hAnsi="黑体" w:eastAsia="黑体" w:cs="黑体"/>
          <w:bCs/>
          <w:kern w:val="1"/>
          <w:sz w:val="32"/>
          <w:szCs w:val="32"/>
        </w:rPr>
        <w:t>事故造成的人员伤亡</w:t>
      </w:r>
      <w:r>
        <w:rPr>
          <w:rFonts w:hint="eastAsia" w:ascii="黑体" w:hAnsi="黑体" w:eastAsia="黑体" w:cs="黑体"/>
          <w:bCs/>
          <w:kern w:val="1"/>
          <w:sz w:val="32"/>
          <w:szCs w:val="32"/>
          <w:lang w:eastAsia="zh-CN"/>
        </w:rPr>
        <w:t>情况</w:t>
      </w:r>
    </w:p>
    <w:tbl>
      <w:tblPr>
        <w:tblStyle w:val="10"/>
        <w:tblW w:w="7938" w:type="dxa"/>
        <w:jc w:val="center"/>
        <w:tblLayout w:type="autofit"/>
        <w:tblCellMar>
          <w:top w:w="0" w:type="dxa"/>
          <w:left w:w="108" w:type="dxa"/>
          <w:bottom w:w="0" w:type="dxa"/>
          <w:right w:w="108" w:type="dxa"/>
        </w:tblCellMar>
      </w:tblPr>
      <w:tblGrid>
        <w:gridCol w:w="1210"/>
        <w:gridCol w:w="857"/>
        <w:gridCol w:w="909"/>
        <w:gridCol w:w="1531"/>
        <w:gridCol w:w="1825"/>
        <w:gridCol w:w="1606"/>
      </w:tblGrid>
      <w:tr w14:paraId="7B7A2552">
        <w:tblPrEx>
          <w:tblCellMar>
            <w:top w:w="0" w:type="dxa"/>
            <w:left w:w="108" w:type="dxa"/>
            <w:bottom w:w="0" w:type="dxa"/>
            <w:right w:w="108" w:type="dxa"/>
          </w:tblCellMar>
        </w:tblPrEx>
        <w:trPr>
          <w:trHeight w:val="583" w:hRule="atLeast"/>
          <w:jc w:val="center"/>
        </w:trPr>
        <w:tc>
          <w:tcPr>
            <w:tcW w:w="1210" w:type="dxa"/>
            <w:tcBorders>
              <w:top w:val="single" w:color="000000" w:sz="12" w:space="0"/>
              <w:left w:val="single" w:color="000000" w:sz="12" w:space="0"/>
              <w:bottom w:val="single" w:color="000000" w:sz="4" w:space="0"/>
              <w:right w:val="single" w:color="000000" w:sz="4" w:space="0"/>
            </w:tcBorders>
            <w:noWrap w:val="0"/>
            <w:vAlign w:val="center"/>
          </w:tcPr>
          <w:p w14:paraId="3AD2B140">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 xml:space="preserve">   姓名</w:t>
            </w:r>
          </w:p>
        </w:tc>
        <w:tc>
          <w:tcPr>
            <w:tcW w:w="857" w:type="dxa"/>
            <w:tcBorders>
              <w:top w:val="single" w:color="000000" w:sz="12" w:space="0"/>
              <w:left w:val="single" w:color="000000" w:sz="4" w:space="0"/>
              <w:bottom w:val="single" w:color="000000" w:sz="4" w:space="0"/>
              <w:right w:val="single" w:color="000000" w:sz="4" w:space="0"/>
            </w:tcBorders>
            <w:noWrap w:val="0"/>
            <w:vAlign w:val="center"/>
          </w:tcPr>
          <w:p w14:paraId="3E3B5786">
            <w:pPr>
              <w:keepNext w:val="0"/>
              <w:keepLines w:val="0"/>
              <w:pageBreakBefore w:val="0"/>
              <w:widowControl w:val="0"/>
              <w:kinsoku/>
              <w:wordWrap/>
              <w:overflowPunct/>
              <w:topLinePunct w:val="0"/>
              <w:autoSpaceDN/>
              <w:bidi w:val="0"/>
              <w:adjustRightInd/>
              <w:snapToGrid/>
              <w:spacing w:line="560" w:lineRule="exact"/>
              <w:ind w:left="-420" w:firstLine="280"/>
              <w:jc w:val="right"/>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年龄</w:t>
            </w:r>
          </w:p>
        </w:tc>
        <w:tc>
          <w:tcPr>
            <w:tcW w:w="909" w:type="dxa"/>
            <w:tcBorders>
              <w:top w:val="single" w:color="000000" w:sz="12" w:space="0"/>
              <w:left w:val="single" w:color="000000" w:sz="4" w:space="0"/>
              <w:bottom w:val="single" w:color="000000" w:sz="4" w:space="0"/>
              <w:right w:val="single" w:color="000000" w:sz="4" w:space="0"/>
            </w:tcBorders>
            <w:noWrap w:val="0"/>
            <w:vAlign w:val="center"/>
          </w:tcPr>
          <w:p w14:paraId="63D65891">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 xml:space="preserve">  </w:t>
            </w:r>
            <w:r>
              <w:rPr>
                <w:rFonts w:hint="eastAsia" w:ascii="仿宋_GB2312" w:hAnsi="仿宋_GB2312" w:eastAsia="仿宋_GB2312" w:cs="仿宋_GB2312"/>
                <w:kern w:val="1"/>
                <w:sz w:val="28"/>
                <w:szCs w:val="28"/>
                <w:lang w:val="en-US" w:eastAsia="zh-CN"/>
              </w:rPr>
              <w:t xml:space="preserve"> </w:t>
            </w:r>
            <w:r>
              <w:rPr>
                <w:rFonts w:hint="eastAsia" w:ascii="仿宋_GB2312" w:hAnsi="仿宋_GB2312" w:eastAsia="仿宋_GB2312" w:cs="仿宋_GB2312"/>
                <w:kern w:val="1"/>
                <w:sz w:val="28"/>
                <w:szCs w:val="28"/>
              </w:rPr>
              <w:t>性别</w:t>
            </w:r>
          </w:p>
        </w:tc>
        <w:tc>
          <w:tcPr>
            <w:tcW w:w="1531" w:type="dxa"/>
            <w:tcBorders>
              <w:top w:val="single" w:color="000000" w:sz="12" w:space="0"/>
              <w:left w:val="single" w:color="000000" w:sz="4" w:space="0"/>
              <w:bottom w:val="single" w:color="000000" w:sz="4" w:space="0"/>
              <w:right w:val="single" w:color="000000" w:sz="4" w:space="0"/>
            </w:tcBorders>
            <w:noWrap w:val="0"/>
            <w:vAlign w:val="center"/>
          </w:tcPr>
          <w:p w14:paraId="695131DF">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lang w:val="en-US" w:eastAsia="zh-CN"/>
              </w:rPr>
              <w:t xml:space="preserve">   </w:t>
            </w:r>
            <w:r>
              <w:rPr>
                <w:rFonts w:hint="eastAsia" w:ascii="仿宋_GB2312" w:hAnsi="仿宋_GB2312" w:eastAsia="仿宋_GB2312" w:cs="仿宋_GB2312"/>
                <w:kern w:val="1"/>
                <w:sz w:val="28"/>
                <w:szCs w:val="28"/>
              </w:rPr>
              <w:t>工种</w:t>
            </w:r>
          </w:p>
        </w:tc>
        <w:tc>
          <w:tcPr>
            <w:tcW w:w="1825" w:type="dxa"/>
            <w:tcBorders>
              <w:top w:val="single" w:color="000000" w:sz="12" w:space="0"/>
              <w:left w:val="single" w:color="000000" w:sz="4" w:space="0"/>
              <w:bottom w:val="single" w:color="000000" w:sz="4" w:space="0"/>
              <w:right w:val="single" w:color="000000" w:sz="4" w:space="0"/>
            </w:tcBorders>
            <w:noWrap w:val="0"/>
            <w:vAlign w:val="center"/>
          </w:tcPr>
          <w:p w14:paraId="4D5C3678">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 xml:space="preserve">   伤害部位</w:t>
            </w:r>
          </w:p>
        </w:tc>
        <w:tc>
          <w:tcPr>
            <w:tcW w:w="1606" w:type="dxa"/>
            <w:tcBorders>
              <w:top w:val="single" w:color="000000" w:sz="12" w:space="0"/>
              <w:left w:val="single" w:color="000000" w:sz="4" w:space="0"/>
              <w:bottom w:val="single" w:color="000000" w:sz="4" w:space="0"/>
              <w:right w:val="single" w:color="000000" w:sz="12" w:space="0"/>
            </w:tcBorders>
            <w:noWrap w:val="0"/>
            <w:vAlign w:val="center"/>
          </w:tcPr>
          <w:p w14:paraId="5E34F0CB">
            <w:pPr>
              <w:keepNext w:val="0"/>
              <w:keepLines w:val="0"/>
              <w:pageBreakBefore w:val="0"/>
              <w:widowControl w:val="0"/>
              <w:kinsoku/>
              <w:wordWrap/>
              <w:overflowPunct/>
              <w:topLinePunct w:val="0"/>
              <w:autoSpaceDN/>
              <w:bidi w:val="0"/>
              <w:adjustRightInd/>
              <w:snapToGrid/>
              <w:spacing w:line="560" w:lineRule="exact"/>
              <w:ind w:left="-420" w:firstLine="280"/>
              <w:jc w:val="center"/>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伤害程度</w:t>
            </w:r>
          </w:p>
        </w:tc>
      </w:tr>
      <w:tr w14:paraId="0297C048">
        <w:tblPrEx>
          <w:tblCellMar>
            <w:top w:w="0" w:type="dxa"/>
            <w:left w:w="108" w:type="dxa"/>
            <w:bottom w:w="0" w:type="dxa"/>
            <w:right w:w="108" w:type="dxa"/>
          </w:tblCellMar>
        </w:tblPrEx>
        <w:trPr>
          <w:trHeight w:val="601" w:hRule="atLeast"/>
          <w:jc w:val="center"/>
        </w:trPr>
        <w:tc>
          <w:tcPr>
            <w:tcW w:w="1210" w:type="dxa"/>
            <w:tcBorders>
              <w:top w:val="single" w:color="000000" w:sz="4" w:space="0"/>
              <w:left w:val="single" w:color="000000" w:sz="12" w:space="0"/>
              <w:bottom w:val="single" w:color="000000" w:sz="12" w:space="0"/>
              <w:right w:val="single" w:color="000000" w:sz="4" w:space="0"/>
            </w:tcBorders>
            <w:noWrap w:val="0"/>
            <w:vAlign w:val="center"/>
          </w:tcPr>
          <w:p w14:paraId="74946992">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 xml:space="preserve">   </w:t>
            </w:r>
            <w:r>
              <w:rPr>
                <w:rFonts w:hint="eastAsia" w:ascii="仿宋_GB2312" w:hAnsi="仿宋_GB2312" w:eastAsia="仿宋_GB2312" w:cs="仿宋_GB2312"/>
                <w:kern w:val="1"/>
                <w:sz w:val="28"/>
                <w:szCs w:val="28"/>
                <w:lang w:val="en-US" w:eastAsia="zh-CN"/>
              </w:rPr>
              <w:t>孙洪伟</w:t>
            </w:r>
          </w:p>
        </w:tc>
        <w:tc>
          <w:tcPr>
            <w:tcW w:w="857" w:type="dxa"/>
            <w:tcBorders>
              <w:top w:val="single" w:color="000000" w:sz="4" w:space="0"/>
              <w:left w:val="single" w:color="000000" w:sz="4" w:space="0"/>
              <w:bottom w:val="single" w:color="000000" w:sz="12" w:space="0"/>
              <w:right w:val="single" w:color="000000" w:sz="4" w:space="0"/>
            </w:tcBorders>
            <w:noWrap w:val="0"/>
            <w:vAlign w:val="center"/>
          </w:tcPr>
          <w:p w14:paraId="5295EEBA">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lang w:val="en-US" w:eastAsia="zh-CN"/>
              </w:rPr>
            </w:pPr>
            <w:r>
              <w:rPr>
                <w:rFonts w:hint="eastAsia" w:ascii="仿宋_GB2312" w:hAnsi="仿宋_GB2312" w:eastAsia="仿宋_GB2312" w:cs="仿宋_GB2312"/>
                <w:kern w:val="1"/>
                <w:sz w:val="28"/>
                <w:szCs w:val="28"/>
              </w:rPr>
              <w:t xml:space="preserve">   </w:t>
            </w:r>
            <w:r>
              <w:rPr>
                <w:rFonts w:hint="eastAsia" w:ascii="仿宋_GB2312" w:hAnsi="仿宋_GB2312" w:eastAsia="仿宋_GB2312" w:cs="仿宋_GB2312"/>
                <w:kern w:val="1"/>
                <w:sz w:val="28"/>
                <w:szCs w:val="28"/>
                <w:lang w:val="en-US" w:eastAsia="zh-CN"/>
              </w:rPr>
              <w:t>46</w:t>
            </w:r>
          </w:p>
        </w:tc>
        <w:tc>
          <w:tcPr>
            <w:tcW w:w="909" w:type="dxa"/>
            <w:tcBorders>
              <w:top w:val="single" w:color="000000" w:sz="4" w:space="0"/>
              <w:left w:val="single" w:color="000000" w:sz="4" w:space="0"/>
              <w:bottom w:val="single" w:color="000000" w:sz="12" w:space="0"/>
              <w:right w:val="single" w:color="000000" w:sz="4" w:space="0"/>
            </w:tcBorders>
            <w:noWrap w:val="0"/>
            <w:vAlign w:val="center"/>
          </w:tcPr>
          <w:p w14:paraId="3C966567">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rPr>
            </w:pPr>
            <w:r>
              <w:rPr>
                <w:rFonts w:hint="eastAsia" w:ascii="仿宋_GB2312" w:hAnsi="仿宋_GB2312" w:eastAsia="仿宋_GB2312" w:cs="仿宋_GB2312"/>
                <w:kern w:val="1"/>
                <w:sz w:val="28"/>
                <w:szCs w:val="28"/>
              </w:rPr>
              <w:t xml:space="preserve">   男</w:t>
            </w:r>
          </w:p>
        </w:tc>
        <w:tc>
          <w:tcPr>
            <w:tcW w:w="1531" w:type="dxa"/>
            <w:tcBorders>
              <w:top w:val="single" w:color="000000" w:sz="4" w:space="0"/>
              <w:left w:val="single" w:color="000000" w:sz="4" w:space="0"/>
              <w:bottom w:val="single" w:color="000000" w:sz="12" w:space="0"/>
              <w:right w:val="single" w:color="000000" w:sz="4" w:space="0"/>
            </w:tcBorders>
            <w:noWrap w:val="0"/>
            <w:vAlign w:val="center"/>
          </w:tcPr>
          <w:p w14:paraId="487C2501">
            <w:pPr>
              <w:keepNext w:val="0"/>
              <w:keepLines w:val="0"/>
              <w:pageBreakBefore w:val="0"/>
              <w:widowControl w:val="0"/>
              <w:kinsoku/>
              <w:wordWrap/>
              <w:overflowPunct/>
              <w:topLinePunct w:val="0"/>
              <w:autoSpaceDN/>
              <w:bidi w:val="0"/>
              <w:adjustRightInd/>
              <w:snapToGrid/>
              <w:spacing w:line="560" w:lineRule="exact"/>
              <w:jc w:val="center"/>
              <w:textAlignment w:val="auto"/>
              <w:rPr>
                <w:rFonts w:hint="default" w:ascii="仿宋_GB2312" w:hAnsi="仿宋_GB2312" w:eastAsia="仿宋_GB2312" w:cs="仿宋_GB2312"/>
                <w:kern w:val="1"/>
                <w:sz w:val="28"/>
                <w:szCs w:val="28"/>
                <w:lang w:val="en-US" w:eastAsia="zh-CN"/>
              </w:rPr>
            </w:pPr>
            <w:r>
              <w:rPr>
                <w:rFonts w:hint="eastAsia" w:ascii="仿宋_GB2312" w:hAnsi="仿宋_GB2312" w:eastAsia="仿宋_GB2312" w:cs="仿宋_GB2312"/>
                <w:kern w:val="1"/>
                <w:sz w:val="28"/>
                <w:szCs w:val="28"/>
                <w:lang w:val="en-US" w:eastAsia="zh-CN"/>
              </w:rPr>
              <w:t>力工</w:t>
            </w:r>
          </w:p>
        </w:tc>
        <w:tc>
          <w:tcPr>
            <w:tcW w:w="1825" w:type="dxa"/>
            <w:tcBorders>
              <w:top w:val="single" w:color="000000" w:sz="4" w:space="0"/>
              <w:left w:val="single" w:color="000000" w:sz="4" w:space="0"/>
              <w:bottom w:val="single" w:color="000000" w:sz="12" w:space="0"/>
              <w:right w:val="single" w:color="000000" w:sz="4" w:space="0"/>
            </w:tcBorders>
            <w:noWrap w:val="0"/>
            <w:vAlign w:val="center"/>
          </w:tcPr>
          <w:p w14:paraId="19FA29BB">
            <w:pPr>
              <w:keepNext w:val="0"/>
              <w:keepLines w:val="0"/>
              <w:pageBreakBefore w:val="0"/>
              <w:widowControl w:val="0"/>
              <w:kinsoku/>
              <w:wordWrap/>
              <w:overflowPunct/>
              <w:topLinePunct w:val="0"/>
              <w:autoSpaceDN/>
              <w:bidi w:val="0"/>
              <w:adjustRightInd/>
              <w:snapToGrid/>
              <w:spacing w:line="560" w:lineRule="exact"/>
              <w:ind w:left="-146" w:hanging="272"/>
              <w:jc w:val="center"/>
              <w:textAlignment w:val="auto"/>
              <w:rPr>
                <w:rFonts w:hint="eastAsia" w:ascii="仿宋_GB2312" w:hAnsi="仿宋_GB2312" w:eastAsia="仿宋_GB2312" w:cs="仿宋_GB2312"/>
                <w:kern w:val="1"/>
                <w:sz w:val="28"/>
                <w:szCs w:val="28"/>
                <w:lang w:val="en-US" w:eastAsia="zh-CN"/>
              </w:rPr>
            </w:pPr>
            <w:r>
              <w:rPr>
                <w:rFonts w:hint="eastAsia" w:ascii="仿宋_GB2312" w:hAnsi="仿宋_GB2312" w:eastAsia="仿宋_GB2312" w:cs="仿宋_GB2312"/>
                <w:kern w:val="1"/>
                <w:sz w:val="28"/>
                <w:szCs w:val="28"/>
              </w:rPr>
              <w:t xml:space="preserve"> </w:t>
            </w:r>
            <w:r>
              <w:rPr>
                <w:rFonts w:hint="eastAsia" w:ascii="仿宋_GB2312" w:hAnsi="仿宋_GB2312" w:eastAsia="仿宋_GB2312" w:cs="仿宋_GB2312"/>
                <w:kern w:val="1"/>
                <w:sz w:val="28"/>
                <w:szCs w:val="28"/>
                <w:highlight w:val="none"/>
              </w:rPr>
              <w:t xml:space="preserve"> </w:t>
            </w:r>
            <w:r>
              <w:rPr>
                <w:rFonts w:hint="eastAsia" w:ascii="仿宋_GB2312" w:hAnsi="仿宋_GB2312" w:eastAsia="仿宋_GB2312" w:cs="仿宋_GB2312"/>
                <w:kern w:val="1"/>
                <w:sz w:val="28"/>
                <w:szCs w:val="28"/>
                <w:highlight w:val="none"/>
                <w:lang w:val="en-US" w:eastAsia="zh-CN"/>
              </w:rPr>
              <w:t>颅脑</w:t>
            </w:r>
          </w:p>
        </w:tc>
        <w:tc>
          <w:tcPr>
            <w:tcW w:w="1606" w:type="dxa"/>
            <w:tcBorders>
              <w:top w:val="single" w:color="000000" w:sz="4" w:space="0"/>
              <w:left w:val="single" w:color="000000" w:sz="4" w:space="0"/>
              <w:bottom w:val="single" w:color="000000" w:sz="12" w:space="0"/>
              <w:right w:val="single" w:color="000000" w:sz="12" w:space="0"/>
            </w:tcBorders>
            <w:noWrap w:val="0"/>
            <w:vAlign w:val="center"/>
          </w:tcPr>
          <w:p w14:paraId="135A813A">
            <w:pPr>
              <w:keepNext w:val="0"/>
              <w:keepLines w:val="0"/>
              <w:pageBreakBefore w:val="0"/>
              <w:widowControl w:val="0"/>
              <w:kinsoku/>
              <w:wordWrap/>
              <w:overflowPunct/>
              <w:topLinePunct w:val="0"/>
              <w:autoSpaceDN/>
              <w:bidi w:val="0"/>
              <w:adjustRightInd/>
              <w:snapToGrid/>
              <w:spacing w:line="560" w:lineRule="exact"/>
              <w:ind w:left="-420"/>
              <w:jc w:val="center"/>
              <w:textAlignment w:val="auto"/>
              <w:rPr>
                <w:rFonts w:hint="eastAsia" w:ascii="仿宋_GB2312" w:hAnsi="仿宋_GB2312" w:eastAsia="仿宋_GB2312" w:cs="仿宋_GB2312"/>
                <w:kern w:val="1"/>
                <w:sz w:val="28"/>
                <w:szCs w:val="28"/>
                <w:lang w:val="en-US" w:eastAsia="zh-CN"/>
              </w:rPr>
            </w:pPr>
            <w:r>
              <w:rPr>
                <w:rFonts w:hint="eastAsia" w:ascii="仿宋_GB2312" w:hAnsi="仿宋_GB2312" w:eastAsia="仿宋_GB2312" w:cs="仿宋_GB2312"/>
                <w:kern w:val="1"/>
                <w:sz w:val="28"/>
                <w:szCs w:val="28"/>
              </w:rPr>
              <w:t xml:space="preserve">  </w:t>
            </w:r>
            <w:r>
              <w:rPr>
                <w:rFonts w:hint="eastAsia" w:ascii="仿宋_GB2312" w:hAnsi="仿宋_GB2312" w:eastAsia="仿宋_GB2312" w:cs="仿宋_GB2312"/>
                <w:kern w:val="1"/>
                <w:sz w:val="28"/>
                <w:szCs w:val="28"/>
                <w:lang w:val="en-US" w:eastAsia="zh-CN"/>
              </w:rPr>
              <w:t>重伤</w:t>
            </w:r>
            <w:r>
              <w:rPr>
                <w:rStyle w:val="16"/>
                <w:rFonts w:ascii="黑体" w:hAnsi="黑体" w:eastAsia="黑体" w:cs="黑体"/>
                <w:bCs/>
                <w:kern w:val="1"/>
                <w:sz w:val="32"/>
                <w:szCs w:val="32"/>
              </w:rPr>
              <w:t>[</w:t>
            </w:r>
            <w:r>
              <w:rPr>
                <w:rStyle w:val="16"/>
                <w:rFonts w:ascii="黑体" w:hAnsi="黑体" w:eastAsia="黑体" w:cs="黑体"/>
                <w:bCs/>
                <w:kern w:val="1"/>
                <w:sz w:val="32"/>
                <w:szCs w:val="32"/>
              </w:rPr>
              <w:footnoteReference w:id="1"/>
            </w:r>
            <w:r>
              <w:rPr>
                <w:rStyle w:val="16"/>
                <w:rFonts w:ascii="黑体" w:hAnsi="黑体" w:eastAsia="黑体" w:cs="黑体"/>
                <w:bCs/>
                <w:kern w:val="1"/>
                <w:sz w:val="32"/>
                <w:szCs w:val="32"/>
              </w:rPr>
              <w:t>]</w:t>
            </w:r>
          </w:p>
        </w:tc>
      </w:tr>
    </w:tbl>
    <w:p w14:paraId="64EBB590">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eastAsia="仿宋"/>
        </w:rPr>
      </w:pPr>
      <w:r>
        <w:rPr>
          <w:rFonts w:ascii="仿宋" w:hAnsi="仿宋" w:eastAsia="仿宋" w:cs="仿宋"/>
          <w:kern w:val="1"/>
          <w:sz w:val="32"/>
          <w:szCs w:val="32"/>
        </w:rPr>
        <w:t>本次事故损失工作日：</w:t>
      </w:r>
      <w:r>
        <w:rPr>
          <w:rFonts w:hint="eastAsia" w:ascii="仿宋" w:hAnsi="仿宋" w:eastAsia="仿宋" w:cs="仿宋"/>
          <w:kern w:val="1"/>
          <w:sz w:val="32"/>
          <w:szCs w:val="32"/>
          <w:lang w:val="en-US" w:eastAsia="zh-CN"/>
        </w:rPr>
        <w:t>105</w:t>
      </w:r>
      <w:r>
        <w:rPr>
          <w:rFonts w:ascii="仿宋" w:hAnsi="仿宋" w:eastAsia="仿宋" w:cs="仿宋"/>
          <w:kern w:val="1"/>
          <w:sz w:val="32"/>
          <w:szCs w:val="32"/>
        </w:rPr>
        <w:t>天</w:t>
      </w:r>
      <w:r>
        <w:rPr>
          <w:rFonts w:hint="eastAsia" w:ascii="仿宋" w:hAnsi="仿宋" w:eastAsia="仿宋" w:cs="仿宋"/>
          <w:kern w:val="1"/>
          <w:sz w:val="32"/>
          <w:szCs w:val="32"/>
          <w:lang w:val="en-US" w:eastAsia="zh-CN"/>
        </w:rPr>
        <w:t>以上</w:t>
      </w:r>
      <w:r>
        <w:rPr>
          <w:rStyle w:val="16"/>
          <w:rFonts w:ascii="黑体" w:hAnsi="黑体" w:eastAsia="黑体" w:cs="黑体"/>
          <w:bCs/>
          <w:kern w:val="1"/>
          <w:sz w:val="32"/>
          <w:szCs w:val="32"/>
        </w:rPr>
        <w:t>[</w:t>
      </w:r>
      <w:r>
        <w:rPr>
          <w:rStyle w:val="16"/>
          <w:rFonts w:ascii="黑体" w:hAnsi="黑体" w:eastAsia="黑体" w:cs="黑体"/>
          <w:bCs/>
          <w:kern w:val="1"/>
          <w:sz w:val="32"/>
          <w:szCs w:val="32"/>
        </w:rPr>
        <w:footnoteReference w:id="2"/>
      </w:r>
      <w:r>
        <w:rPr>
          <w:rStyle w:val="16"/>
          <w:rFonts w:ascii="黑体" w:hAnsi="黑体" w:eastAsia="黑体" w:cs="黑体"/>
          <w:bCs/>
          <w:kern w:val="1"/>
          <w:sz w:val="32"/>
          <w:szCs w:val="32"/>
        </w:rPr>
        <w:t>]</w:t>
      </w:r>
      <w:r>
        <w:rPr>
          <w:rFonts w:ascii="仿宋" w:hAnsi="仿宋" w:eastAsia="仿宋" w:cs="仿宋"/>
          <w:kern w:val="1"/>
          <w:sz w:val="32"/>
          <w:szCs w:val="32"/>
        </w:rPr>
        <w:t>。</w:t>
      </w:r>
    </w:p>
    <w:p w14:paraId="083674F4">
      <w:pPr>
        <w:keepNext w:val="0"/>
        <w:keepLines w:val="0"/>
        <w:pageBreakBefore w:val="0"/>
        <w:kinsoku/>
        <w:wordWrap/>
        <w:overflowPunct/>
        <w:topLinePunct w:val="0"/>
        <w:autoSpaceDE/>
        <w:autoSpaceDN/>
        <w:bidi w:val="0"/>
        <w:adjustRightInd/>
        <w:snapToGrid/>
        <w:spacing w:line="560" w:lineRule="exact"/>
        <w:ind w:firstLine="680" w:firstLineChars="200"/>
        <w:textAlignment w:val="auto"/>
        <w:rPr>
          <w:rFonts w:hint="eastAsia" w:ascii="黑体" w:hAnsi="黑体" w:eastAsia="黑体" w:cs="黑体"/>
          <w:b w:val="0"/>
          <w:bCs w:val="0"/>
          <w:kern w:val="0"/>
          <w:sz w:val="34"/>
          <w:szCs w:val="34"/>
        </w:rPr>
      </w:pPr>
      <w:r>
        <w:rPr>
          <w:rFonts w:hint="eastAsia" w:ascii="黑体" w:hAnsi="黑体" w:eastAsia="黑体" w:cs="黑体"/>
          <w:b w:val="0"/>
          <w:bCs w:val="0"/>
          <w:kern w:val="0"/>
          <w:sz w:val="34"/>
          <w:szCs w:val="34"/>
          <w:lang w:val="en-US" w:eastAsia="zh-CN"/>
        </w:rPr>
        <w:t>四</w:t>
      </w:r>
      <w:r>
        <w:rPr>
          <w:rFonts w:hint="eastAsia" w:ascii="黑体" w:hAnsi="黑体" w:eastAsia="黑体" w:cs="黑体"/>
          <w:b w:val="0"/>
          <w:bCs w:val="0"/>
          <w:kern w:val="0"/>
          <w:sz w:val="34"/>
          <w:szCs w:val="34"/>
        </w:rPr>
        <w:t>、事故发生原因和事故性质</w:t>
      </w:r>
    </w:p>
    <w:p w14:paraId="70D3BB31">
      <w:pPr>
        <w:keepNext w:val="0"/>
        <w:keepLines w:val="0"/>
        <w:pageBreakBefore w:val="0"/>
        <w:widowControl/>
        <w:shd w:val="clear" w:color="auto" w:fill="FFFFFF"/>
        <w:kinsoku/>
        <w:wordWrap/>
        <w:overflowPunct/>
        <w:topLinePunct w:val="0"/>
        <w:autoSpaceDE/>
        <w:autoSpaceDN/>
        <w:bidi w:val="0"/>
        <w:adjustRightInd/>
        <w:snapToGrid w:val="0"/>
        <w:spacing w:line="560" w:lineRule="exact"/>
        <w:textAlignment w:val="auto"/>
        <w:rPr>
          <w:rFonts w:hint="eastAsia" w:ascii="仿宋" w:hAnsi="仿宋" w:eastAsia="仿宋" w:cs="仿宋"/>
          <w:b/>
          <w:bCs/>
          <w:kern w:val="0"/>
          <w:sz w:val="34"/>
          <w:szCs w:val="34"/>
        </w:rPr>
      </w:pPr>
      <w:r>
        <w:rPr>
          <w:rFonts w:hint="eastAsia" w:ascii="仿宋" w:hAnsi="仿宋" w:eastAsia="仿宋" w:cs="仿宋"/>
          <w:b/>
          <w:bCs/>
          <w:kern w:val="0"/>
          <w:sz w:val="34"/>
          <w:szCs w:val="34"/>
        </w:rPr>
        <w:t xml:space="preserve">   </w:t>
      </w:r>
      <w:r>
        <w:rPr>
          <w:rFonts w:hint="eastAsia" w:ascii="楷体_GB2312" w:hAnsi="楷体_GB2312" w:eastAsia="楷体_GB2312" w:cs="楷体_GB2312"/>
          <w:b/>
          <w:color w:val="000000"/>
          <w:kern w:val="2"/>
          <w:sz w:val="32"/>
          <w:szCs w:val="32"/>
          <w:lang w:val="en-US" w:eastAsia="zh-CN" w:bidi="ar-SA"/>
        </w:rPr>
        <w:t>（一）直接原因</w:t>
      </w:r>
    </w:p>
    <w:p w14:paraId="2914DBF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辽宁鑫合公司作业现场安全管理缺失，未按照高处作业相关规定要求提供安全绳、安全帽等劳动防护用品，未设置高处作业防坠落措施，孙洪伟安全意识淡薄，在无任何安全防护措施的情况下从事高处作业，在玻璃房顶部木围栏最下部贴着玻璃的位置钻孔排水，钻孔过程中玻璃破碎，导致孙洪伟随玻璃坠落受伤。</w:t>
      </w:r>
    </w:p>
    <w:p w14:paraId="5CF667A8">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3" w:firstLineChars="200"/>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（二）间接原因</w:t>
      </w:r>
    </w:p>
    <w:p w14:paraId="71CFA430">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1.辽宁鑫合公司未落实安全生产主体责任，实际不具备安全生产条件，作业前未制定相关工作方案及安全措施。</w:t>
      </w:r>
    </w:p>
    <w:p w14:paraId="1EB36ACB">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2.辽宁鑫合公司未对作业现场进行安全风险辨识，未认识到高处作业风险，未采取必要的安全防护措施及时消除事故隐患。</w:t>
      </w:r>
    </w:p>
    <w:p w14:paraId="4131BA56">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3.辽宁鑫合公司未对雇佣人员进行安全教育和培训，未按照规定如实告知有关安全生产事项，作业现场无任何人员进行管理或安全监督。</w:t>
      </w:r>
    </w:p>
    <w:p w14:paraId="0DF5884A">
      <w:pPr>
        <w:pStyle w:val="9"/>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Times New Roman"/>
          <w:color w:val="auto"/>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4.市人防中心将人防设备设施维修养护工程发包给实际不具备安全生产条件的辽宁鑫合公司，</w:t>
      </w:r>
      <w:r>
        <w:rPr>
          <w:rFonts w:hint="eastAsia" w:ascii="仿宋_GB2312" w:hAnsi="仿宋" w:eastAsia="仿宋_GB2312" w:cs="Times New Roman"/>
          <w:color w:val="auto"/>
          <w:kern w:val="2"/>
          <w:sz w:val="32"/>
          <w:szCs w:val="32"/>
          <w:lang w:val="en-US" w:eastAsia="zh-CN" w:bidi="ar-SA"/>
        </w:rPr>
        <w:t>未按照《人防设备设施维修养护合同》要求对施工作业情况及安全防范措施情况有效监督管理。</w:t>
      </w:r>
    </w:p>
    <w:p w14:paraId="4725A629">
      <w:pPr>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560" w:lineRule="exact"/>
        <w:ind w:firstLine="643" w:firstLineChars="200"/>
        <w:textAlignment w:val="auto"/>
        <w:rPr>
          <w:rFonts w:hint="eastAsia" w:ascii="楷体_GB2312" w:hAnsi="楷体_GB2312" w:eastAsia="楷体_GB2312" w:cs="楷体_GB2312"/>
          <w:b/>
          <w:color w:val="000000"/>
          <w:kern w:val="2"/>
          <w:sz w:val="32"/>
          <w:szCs w:val="32"/>
          <w:lang w:val="en-US" w:eastAsia="zh-CN" w:bidi="ar-SA"/>
        </w:rPr>
      </w:pPr>
      <w:r>
        <w:rPr>
          <w:rFonts w:hint="eastAsia" w:ascii="楷体_GB2312" w:hAnsi="楷体_GB2312" w:eastAsia="楷体_GB2312" w:cs="楷体_GB2312"/>
          <w:b/>
          <w:color w:val="000000"/>
          <w:kern w:val="2"/>
          <w:sz w:val="32"/>
          <w:szCs w:val="32"/>
          <w:lang w:val="en-US" w:eastAsia="zh-CN" w:bidi="ar-SA"/>
        </w:rPr>
        <w:t>（三）事故性质</w:t>
      </w:r>
    </w:p>
    <w:p w14:paraId="541B3094">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eastAsia" w:ascii="仿宋_GB2312" w:hAnsi="仿宋" w:eastAsia="仿宋_GB2312" w:cs="Times New Roman"/>
          <w:color w:val="000000"/>
          <w:kern w:val="2"/>
          <w:sz w:val="32"/>
          <w:szCs w:val="32"/>
          <w:lang w:val="en-US" w:eastAsia="zh-CN" w:bidi="ar-SA"/>
        </w:rPr>
      </w:pPr>
      <w:r>
        <w:rPr>
          <w:rFonts w:hint="eastAsia" w:ascii="仿宋_GB2312" w:hAnsi="仿宋" w:eastAsia="仿宋_GB2312" w:cs="Times New Roman"/>
          <w:color w:val="000000"/>
          <w:kern w:val="2"/>
          <w:sz w:val="32"/>
          <w:szCs w:val="32"/>
          <w:lang w:val="en-US" w:eastAsia="zh-CN" w:bidi="ar-SA"/>
        </w:rPr>
        <w:t>经调查认定，抚顺顺城辽宁鑫合建筑装饰装修工程有限公司“7·1”一般高处坠落事故是一起生产安全责任事故。</w:t>
      </w:r>
    </w:p>
    <w:p w14:paraId="2F591397">
      <w:pPr>
        <w:keepNext w:val="0"/>
        <w:keepLines w:val="0"/>
        <w:pageBreakBefore w:val="0"/>
        <w:kinsoku/>
        <w:wordWrap/>
        <w:overflowPunct/>
        <w:topLinePunct w:val="0"/>
        <w:bidi w:val="0"/>
        <w:spacing w:line="560" w:lineRule="exact"/>
        <w:ind w:firstLine="643" w:firstLineChars="200"/>
        <w:textAlignment w:val="auto"/>
        <w:rPr>
          <w:rStyle w:val="16"/>
          <w:rFonts w:ascii="黑体" w:hAnsi="黑体" w:eastAsia="黑体" w:cs="黑体"/>
          <w:bCs/>
          <w:kern w:val="1"/>
          <w:sz w:val="32"/>
          <w:szCs w:val="32"/>
        </w:rPr>
      </w:pPr>
      <w:r>
        <w:rPr>
          <w:rFonts w:hint="eastAsia" w:ascii="黑体" w:hAnsi="黑体" w:eastAsia="黑体" w:cs="黑体"/>
          <w:b/>
          <w:bCs w:val="0"/>
          <w:sz w:val="32"/>
          <w:szCs w:val="32"/>
          <w:lang w:val="en-US" w:eastAsia="zh-CN"/>
        </w:rPr>
        <w:t>五、对事故责任人员、责任单位及有关单位的处理建议</w:t>
      </w:r>
    </w:p>
    <w:p w14:paraId="0AD2F87D">
      <w:pPr>
        <w:keepNext w:val="0"/>
        <w:keepLines w:val="0"/>
        <w:pageBreakBefore w:val="0"/>
        <w:widowControl w:val="0"/>
        <w:kinsoku/>
        <w:wordWrap/>
        <w:overflowPunct/>
        <w:topLinePunct w:val="0"/>
        <w:autoSpaceDE w:val="0"/>
        <w:autoSpaceDN w:val="0"/>
        <w:bidi w:val="0"/>
        <w:adjustRightInd w:val="0"/>
        <w:spacing w:line="560" w:lineRule="exact"/>
        <w:ind w:firstLine="643" w:firstLineChars="200"/>
        <w:jc w:val="both"/>
        <w:textAlignment w:val="auto"/>
        <w:rPr>
          <w:rFonts w:hint="eastAsia" w:ascii="楷体" w:hAnsi="楷体" w:eastAsia="楷体" w:cs="楷体"/>
          <w:b/>
          <w:bCs w:val="0"/>
          <w:sz w:val="32"/>
          <w:szCs w:val="32"/>
          <w:highlight w:val="none"/>
          <w:lang w:val="en-US" w:eastAsia="zh-CN"/>
        </w:rPr>
      </w:pPr>
      <w:r>
        <w:rPr>
          <w:rFonts w:hint="eastAsia" w:ascii="楷体" w:hAnsi="楷体" w:eastAsia="楷体" w:cs="楷体"/>
          <w:b/>
          <w:bCs w:val="0"/>
          <w:sz w:val="32"/>
          <w:szCs w:val="32"/>
          <w:highlight w:val="none"/>
          <w:lang w:val="en-US" w:eastAsia="zh-CN"/>
        </w:rPr>
        <w:t>（一）对事故责任人员的处理建议</w:t>
      </w:r>
    </w:p>
    <w:p w14:paraId="4F894890">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孙洪伟，</w:t>
      </w:r>
      <w:r>
        <w:rPr>
          <w:rFonts w:hint="eastAsia" w:ascii="仿宋_GB2312" w:hAnsi="仿宋" w:eastAsia="仿宋_GB2312" w:cs="Times New Roman"/>
          <w:color w:val="000000"/>
          <w:kern w:val="2"/>
          <w:sz w:val="32"/>
          <w:szCs w:val="32"/>
          <w:lang w:val="en-US" w:eastAsia="zh-CN" w:bidi="ar-SA"/>
        </w:rPr>
        <w:t>辽宁鑫合公司杨磊</w:t>
      </w:r>
      <w:r>
        <w:rPr>
          <w:rFonts w:hint="eastAsia" w:ascii="仿宋_GB2312" w:hAnsi="仿宋_GB2312" w:eastAsia="仿宋_GB2312" w:cs="仿宋_GB2312"/>
          <w:color w:val="auto"/>
          <w:sz w:val="32"/>
          <w:szCs w:val="32"/>
          <w:u w:val="none"/>
          <w:lang w:val="en-US" w:eastAsia="zh-CN"/>
        </w:rPr>
        <w:t>雇佣作业人员，</w:t>
      </w:r>
      <w:r>
        <w:rPr>
          <w:rFonts w:hint="eastAsia" w:ascii="仿宋_GB2312" w:hAnsi="仿宋" w:eastAsia="仿宋_GB2312" w:cs="Times New Roman"/>
          <w:color w:val="000000"/>
          <w:kern w:val="2"/>
          <w:sz w:val="32"/>
          <w:szCs w:val="32"/>
          <w:lang w:val="en-US" w:eastAsia="zh-CN" w:bidi="ar-SA"/>
        </w:rPr>
        <w:t>安全意识淡薄，作业前未进行安全风险辨识，作业中</w:t>
      </w:r>
      <w:r>
        <w:rPr>
          <w:rFonts w:hint="eastAsia" w:ascii="仿宋_GB2312" w:hAnsi="仿宋_GB2312" w:eastAsia="仿宋_GB2312" w:cs="仿宋_GB2312"/>
          <w:color w:val="auto"/>
          <w:sz w:val="32"/>
          <w:szCs w:val="32"/>
          <w:u w:val="none"/>
          <w:lang w:val="en-US" w:eastAsia="zh-CN"/>
        </w:rPr>
        <w:t>未佩戴</w:t>
      </w:r>
      <w:r>
        <w:rPr>
          <w:rFonts w:hint="eastAsia" w:ascii="仿宋_GB2312" w:hAnsi="仿宋" w:eastAsia="仿宋_GB2312" w:cs="Times New Roman"/>
          <w:color w:val="000000"/>
          <w:kern w:val="2"/>
          <w:sz w:val="32"/>
          <w:szCs w:val="32"/>
          <w:lang w:val="en-US" w:eastAsia="zh-CN" w:bidi="ar-SA"/>
        </w:rPr>
        <w:t>安全绳、安全帽等劳动防护用品，</w:t>
      </w:r>
      <w:r>
        <w:rPr>
          <w:rFonts w:hint="eastAsia" w:ascii="仿宋_GB2312" w:hAnsi="仿宋_GB2312" w:eastAsia="仿宋_GB2312" w:cs="仿宋_GB2312"/>
          <w:color w:val="auto"/>
          <w:sz w:val="32"/>
          <w:szCs w:val="32"/>
          <w:u w:val="none"/>
          <w:lang w:val="en-US" w:eastAsia="zh-CN"/>
        </w:rPr>
        <w:t>对事故发生负有责任，</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因在事故中</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受伤,建议</w:t>
      </w:r>
      <w:r>
        <w:rPr>
          <w:rFonts w:hint="eastAsia" w:ascii="仿宋_GB2312" w:hAnsi="仿宋_GB2312" w:eastAsia="仿宋_GB2312" w:cs="仿宋_GB2312"/>
          <w:b w:val="0"/>
          <w:bCs w:val="0"/>
          <w:color w:val="000000" w:themeColor="text1"/>
          <w:sz w:val="32"/>
          <w:szCs w:val="32"/>
          <w:u w:val="none"/>
          <w:lang w:eastAsia="zh-CN"/>
          <w14:textFill>
            <w14:solidFill>
              <w14:schemeClr w14:val="tx1"/>
            </w14:solidFill>
          </w14:textFill>
        </w:rPr>
        <w:t>免于</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追究其责任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0F844014">
      <w:pPr>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default"/>
          <w:highlight w:val="yellow"/>
          <w:lang w:val="en-US"/>
        </w:rPr>
      </w:pPr>
      <w:r>
        <w:rPr>
          <w:rFonts w:hint="eastAsia" w:ascii="仿宋_GB2312" w:hAnsi="仿宋_GB2312" w:cs="仿宋_GB2312"/>
          <w:color w:val="auto"/>
          <w:sz w:val="32"/>
          <w:szCs w:val="32"/>
          <w:lang w:val="en-US" w:eastAsia="zh-CN"/>
        </w:rPr>
        <w:t>2.</w:t>
      </w:r>
      <w:r>
        <w:rPr>
          <w:rFonts w:hint="eastAsia" w:ascii="仿宋_GB2312" w:hAnsi="仿宋" w:eastAsia="仿宋_GB2312" w:cs="Times New Roman"/>
          <w:color w:val="000000"/>
          <w:kern w:val="2"/>
          <w:sz w:val="32"/>
          <w:szCs w:val="32"/>
          <w:lang w:val="en-US" w:eastAsia="zh-CN" w:bidi="ar-SA"/>
        </w:rPr>
        <w:t>杨磊，辽宁鑫合公司工程项目被授权人、项目经理</w:t>
      </w: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w:t>
      </w:r>
      <w:r>
        <w:rPr>
          <w:rFonts w:hint="eastAsia" w:ascii="仿宋_GB2312" w:hAnsi="仿宋" w:eastAsia="仿宋_GB2312" w:cs="Times New Roman"/>
          <w:color w:val="000000"/>
          <w:kern w:val="2"/>
          <w:sz w:val="32"/>
          <w:szCs w:val="32"/>
          <w:lang w:val="en-US" w:eastAsia="zh-CN" w:bidi="ar-SA"/>
        </w:rPr>
        <w:t>施工前未开展风险辨识，未辨识高处作业现场存在的安全风险，未采取必要的安全防护措施及时消除事故隐患，未对雇佣的作业人员开展安全教育培训，现场未进行安全监督，违反了《中华人民共和国安全生产法》第二十一条第（五）项</w:t>
      </w:r>
      <w:r>
        <w:rPr>
          <w:rStyle w:val="16"/>
          <w:rFonts w:hint="eastAsia" w:ascii="黑体" w:hAnsi="黑体" w:eastAsia="黑体" w:cs="黑体"/>
          <w:bCs/>
          <w:kern w:val="1"/>
          <w:sz w:val="32"/>
          <w:szCs w:val="32"/>
          <w:lang w:val="en-US" w:eastAsia="zh-CN"/>
        </w:rPr>
        <w:t>[</w:t>
      </w:r>
      <w:r>
        <w:rPr>
          <w:rStyle w:val="16"/>
          <w:rFonts w:hint="eastAsia" w:ascii="黑体" w:hAnsi="黑体" w:eastAsia="黑体" w:cs="黑体"/>
          <w:bCs/>
          <w:kern w:val="1"/>
          <w:sz w:val="32"/>
          <w:szCs w:val="32"/>
          <w:lang w:val="en-US" w:eastAsia="zh-CN"/>
        </w:rPr>
        <w:footnoteReference w:id="3"/>
      </w:r>
      <w:r>
        <w:rPr>
          <w:rStyle w:val="16"/>
          <w:rFonts w:hint="eastAsia" w:ascii="黑体" w:hAnsi="黑体" w:eastAsia="黑体" w:cs="黑体"/>
          <w:bCs/>
          <w:kern w:val="1"/>
          <w:sz w:val="32"/>
          <w:szCs w:val="32"/>
          <w:lang w:val="en-US" w:eastAsia="zh-CN"/>
        </w:rPr>
        <w:t>]</w:t>
      </w:r>
      <w:r>
        <w:rPr>
          <w:rFonts w:hint="eastAsia" w:ascii="仿宋_GB2312" w:hAnsi="仿宋" w:eastAsia="仿宋_GB2312" w:cs="Times New Roman"/>
          <w:color w:val="000000"/>
          <w:kern w:val="2"/>
          <w:sz w:val="32"/>
          <w:szCs w:val="32"/>
          <w:lang w:val="en-US" w:eastAsia="zh-CN" w:bidi="ar-SA"/>
        </w:rPr>
        <w:t>，对事故发生负有责任，依据《中华人民共和国安全生产法》第九十五条第（一）项</w:t>
      </w:r>
      <w:r>
        <w:rPr>
          <w:rStyle w:val="16"/>
          <w:rFonts w:hint="eastAsia" w:ascii="黑体" w:hAnsi="黑体" w:eastAsia="黑体" w:cs="黑体"/>
          <w:bCs/>
          <w:kern w:val="1"/>
          <w:sz w:val="32"/>
          <w:szCs w:val="32"/>
          <w:lang w:val="en-US" w:eastAsia="zh-CN"/>
        </w:rPr>
        <w:t>[</w:t>
      </w:r>
      <w:r>
        <w:rPr>
          <w:rStyle w:val="16"/>
          <w:rFonts w:hint="eastAsia" w:ascii="黑体" w:hAnsi="黑体" w:eastAsia="黑体" w:cs="黑体"/>
          <w:bCs/>
          <w:kern w:val="1"/>
          <w:sz w:val="32"/>
          <w:szCs w:val="32"/>
          <w:lang w:val="en-US" w:eastAsia="zh-CN"/>
        </w:rPr>
        <w:footnoteReference w:id="4"/>
      </w:r>
      <w:r>
        <w:rPr>
          <w:rStyle w:val="16"/>
          <w:rFonts w:hint="eastAsia" w:ascii="黑体" w:hAnsi="黑体" w:eastAsia="黑体" w:cs="黑体"/>
          <w:bCs/>
          <w:kern w:val="1"/>
          <w:sz w:val="32"/>
          <w:szCs w:val="32"/>
          <w:lang w:val="en-US" w:eastAsia="zh-CN"/>
        </w:rPr>
        <w:t>]</w:t>
      </w:r>
      <w:r>
        <w:rPr>
          <w:rFonts w:hint="eastAsia" w:ascii="黑体" w:hAnsi="黑体" w:eastAsia="黑体" w:cs="黑体"/>
          <w:bCs/>
          <w:kern w:val="1"/>
          <w:sz w:val="32"/>
          <w:szCs w:val="32"/>
          <w:lang w:val="en-US" w:eastAsia="zh-CN"/>
        </w:rPr>
        <w:t>，</w:t>
      </w:r>
      <w:r>
        <w:rPr>
          <w:rFonts w:hint="eastAsia" w:ascii="仿宋_GB2312" w:hAnsi="仿宋" w:eastAsia="仿宋_GB2312" w:cs="Times New Roman"/>
          <w:color w:val="000000"/>
          <w:kern w:val="2"/>
          <w:sz w:val="32"/>
          <w:szCs w:val="32"/>
          <w:lang w:val="en-US" w:eastAsia="zh-CN" w:bidi="ar-SA"/>
        </w:rPr>
        <w:t>建议由顺城区应急局对其给予行政处罚。</w:t>
      </w:r>
    </w:p>
    <w:p w14:paraId="2A0456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 w:eastAsia="仿宋_GB2312" w:cs="Times New Roman"/>
          <w:color w:val="000000"/>
          <w:kern w:val="2"/>
          <w:sz w:val="32"/>
          <w:szCs w:val="32"/>
          <w:lang w:val="en-US" w:eastAsia="zh-CN" w:bidi="ar-SA"/>
        </w:rPr>
        <w:t>3.尤宝利</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，中共党员，</w:t>
      </w:r>
      <w:r>
        <w:rPr>
          <w:rFonts w:hint="eastAsia" w:ascii="仿宋_GB2312" w:hAnsi="仿宋" w:eastAsia="仿宋_GB2312" w:cs="Times New Roman"/>
          <w:color w:val="000000"/>
          <w:kern w:val="2"/>
          <w:sz w:val="32"/>
          <w:szCs w:val="32"/>
          <w:lang w:val="en-US" w:eastAsia="zh-CN" w:bidi="ar-SA"/>
        </w:rPr>
        <w:t>市人防中心</w:t>
      </w: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工程维管部部长，</w:t>
      </w:r>
      <w:r>
        <w:rPr>
          <w:rFonts w:hint="eastAsia" w:ascii="仿宋_GB2312" w:hAnsi="仿宋" w:eastAsia="仿宋_GB2312" w:cs="Times New Roman"/>
          <w:color w:val="000000"/>
          <w:kern w:val="2"/>
          <w:sz w:val="32"/>
          <w:szCs w:val="32"/>
          <w:lang w:val="en-US" w:eastAsia="zh-CN" w:bidi="ar-SA"/>
        </w:rPr>
        <w:t>《人防设备设施维修养护合同》委托代理人</w:t>
      </w:r>
      <w:r>
        <w:rPr>
          <w:rFonts w:hint="eastAsia" w:ascii="仿宋_GB2312" w:hAnsi="仿宋_GB2312" w:eastAsia="仿宋_GB2312" w:cs="仿宋_GB2312"/>
          <w:b w:val="0"/>
          <w:bCs w:val="0"/>
          <w:color w:val="auto"/>
          <w:sz w:val="32"/>
          <w:szCs w:val="32"/>
          <w:lang w:eastAsia="zh-CN"/>
        </w:rPr>
        <w:t>，将工程项目发包给实际不具备安全生产条件的辽宁鑫合公司，</w:t>
      </w:r>
      <w:r>
        <w:rPr>
          <w:rFonts w:hint="eastAsia" w:ascii="仿宋_GB2312" w:hAnsi="仿宋" w:eastAsia="仿宋_GB2312" w:cs="Times New Roman"/>
          <w:color w:val="auto"/>
          <w:kern w:val="2"/>
          <w:sz w:val="32"/>
          <w:szCs w:val="32"/>
          <w:lang w:val="en-US" w:eastAsia="zh-CN" w:bidi="ar-SA"/>
        </w:rPr>
        <w:t>未按照《人防设备设施维修养护合同》要求对施工作业情况及安全防范措施情况有效监督管理，</w:t>
      </w:r>
      <w:r>
        <w:rPr>
          <w:rFonts w:hint="eastAsia" w:ascii="仿宋_GB2312" w:hAnsi="仿宋_GB2312" w:eastAsia="仿宋_GB2312" w:cs="仿宋_GB2312"/>
          <w:color w:val="auto"/>
          <w:kern w:val="2"/>
          <w:sz w:val="32"/>
          <w:szCs w:val="32"/>
          <w:u w:val="none"/>
          <w:lang w:val="en-US" w:eastAsia="zh-CN" w:bidi="ar-SA"/>
        </w:rPr>
        <w:t>建议由具有干部管理权限的部门处理</w:t>
      </w:r>
      <w:r>
        <w:rPr>
          <w:rFonts w:hint="eastAsia" w:ascii="仿宋_GB2312" w:hAnsi="仿宋_GB2312" w:eastAsia="仿宋_GB2312" w:cs="仿宋_GB2312"/>
          <w:color w:val="auto"/>
          <w:sz w:val="32"/>
          <w:szCs w:val="32"/>
          <w:lang w:val="en-US" w:eastAsia="zh-CN"/>
        </w:rPr>
        <w:t>。</w:t>
      </w:r>
    </w:p>
    <w:p w14:paraId="00019A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4.邢博华，中共党员，</w:t>
      </w:r>
      <w:r>
        <w:rPr>
          <w:rFonts w:hint="eastAsia" w:ascii="仿宋_GB2312" w:hAnsi="仿宋" w:eastAsia="仿宋_GB2312" w:cs="Times New Roman"/>
          <w:color w:val="000000"/>
          <w:kern w:val="2"/>
          <w:sz w:val="32"/>
          <w:szCs w:val="32"/>
          <w:lang w:val="en-US" w:eastAsia="zh-CN" w:bidi="ar-SA"/>
        </w:rPr>
        <w:t>市人防中心副主任</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分管</w:t>
      </w: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工程维管部，</w:t>
      </w:r>
      <w:r>
        <w:rPr>
          <w:rFonts w:hint="eastAsia" w:ascii="仿宋_GB2312" w:hAnsi="仿宋" w:eastAsia="仿宋_GB2312" w:cs="Times New Roman"/>
          <w:color w:val="000000"/>
          <w:kern w:val="2"/>
          <w:sz w:val="32"/>
          <w:szCs w:val="32"/>
          <w:lang w:val="en-US" w:eastAsia="zh-CN" w:bidi="ar-SA"/>
        </w:rPr>
        <w:t>提出辽宁鑫合公司作为人防工程及设备设施管护单位，</w:t>
      </w:r>
      <w:r>
        <w:rPr>
          <w:rFonts w:hint="eastAsia" w:ascii="仿宋_GB2312" w:hAnsi="仿宋_GB2312" w:eastAsia="仿宋_GB2312" w:cs="仿宋_GB2312"/>
          <w:b w:val="0"/>
          <w:bCs w:val="0"/>
          <w:color w:val="auto"/>
          <w:sz w:val="32"/>
          <w:szCs w:val="32"/>
          <w:lang w:eastAsia="zh-CN"/>
        </w:rPr>
        <w:t>将工程项目发包给实际不具备安全生产条件的辽宁鑫合公司，</w:t>
      </w:r>
      <w:r>
        <w:rPr>
          <w:rFonts w:hint="eastAsia" w:ascii="仿宋_GB2312" w:hAnsi="仿宋" w:eastAsia="仿宋_GB2312" w:cs="Times New Roman"/>
          <w:color w:val="auto"/>
          <w:kern w:val="2"/>
          <w:sz w:val="32"/>
          <w:szCs w:val="32"/>
          <w:lang w:val="en-US" w:eastAsia="zh-CN" w:bidi="ar-SA"/>
        </w:rPr>
        <w:t>未按照《人防设备设施维修养护合同》要求对施工作业情况及安全防范措施情况有效监督管理，</w:t>
      </w:r>
      <w:r>
        <w:rPr>
          <w:rFonts w:hint="eastAsia" w:ascii="仿宋_GB2312" w:hAnsi="仿宋_GB2312" w:eastAsia="仿宋_GB2312" w:cs="仿宋_GB2312"/>
          <w:color w:val="auto"/>
          <w:kern w:val="2"/>
          <w:sz w:val="32"/>
          <w:szCs w:val="32"/>
          <w:u w:val="none"/>
          <w:lang w:val="en-US" w:eastAsia="zh-CN" w:bidi="ar-SA"/>
        </w:rPr>
        <w:t>建议由具有干部管理权限的部门处理</w:t>
      </w:r>
      <w:r>
        <w:rPr>
          <w:rFonts w:hint="eastAsia" w:ascii="仿宋_GB2312" w:hAnsi="仿宋_GB2312" w:eastAsia="仿宋_GB2312" w:cs="仿宋_GB2312"/>
          <w:color w:val="auto"/>
          <w:sz w:val="32"/>
          <w:szCs w:val="32"/>
          <w:lang w:val="en-US" w:eastAsia="zh-CN"/>
        </w:rPr>
        <w:t>。</w:t>
      </w:r>
    </w:p>
    <w:p w14:paraId="4EBCA91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w:t>
      </w:r>
      <w:r>
        <w:rPr>
          <w:rFonts w:hint="eastAsia" w:ascii="仿宋_GB2312" w:hAnsi="仿宋" w:eastAsia="仿宋_GB2312" w:cs="Times New Roman"/>
          <w:color w:val="000000"/>
          <w:kern w:val="2"/>
          <w:sz w:val="32"/>
          <w:szCs w:val="32"/>
          <w:highlight w:val="none"/>
          <w:lang w:val="en-US" w:eastAsia="zh-CN" w:bidi="ar-SA"/>
        </w:rPr>
        <w:t>韩春强，</w:t>
      </w:r>
      <w:r>
        <w:rPr>
          <w:rFonts w:hint="eastAsia" w:ascii="仿宋_GB2312" w:hAnsi="仿宋_GB2312" w:eastAsia="仿宋_GB2312" w:cs="仿宋_GB2312"/>
          <w:color w:val="auto"/>
          <w:sz w:val="32"/>
          <w:szCs w:val="32"/>
          <w:lang w:val="en-US" w:eastAsia="zh-CN"/>
        </w:rPr>
        <w:t>中共党员，</w:t>
      </w:r>
      <w:r>
        <w:rPr>
          <w:rFonts w:hint="eastAsia" w:ascii="仿宋_GB2312" w:hAnsi="仿宋" w:eastAsia="仿宋_GB2312" w:cs="Times New Roman"/>
          <w:color w:val="000000"/>
          <w:kern w:val="2"/>
          <w:sz w:val="32"/>
          <w:szCs w:val="32"/>
          <w:highlight w:val="none"/>
          <w:lang w:val="en-US" w:eastAsia="zh-CN" w:bidi="ar-SA"/>
        </w:rPr>
        <w:t>市人防中心主任，负责市人防中心全面工作，</w:t>
      </w:r>
      <w:r>
        <w:rPr>
          <w:rFonts w:hint="eastAsia" w:ascii="仿宋_GB2312" w:hAnsi="仿宋_GB2312" w:eastAsia="仿宋_GB2312" w:cs="仿宋_GB2312"/>
          <w:b w:val="0"/>
          <w:bCs w:val="0"/>
          <w:color w:val="auto"/>
          <w:sz w:val="32"/>
          <w:szCs w:val="32"/>
          <w:lang w:eastAsia="zh-CN"/>
        </w:rPr>
        <w:t>将工程项目发包给实际不具备安全生产条件的辽宁鑫合公司，建议向市发改委做出书面深刻检查。</w:t>
      </w:r>
    </w:p>
    <w:p w14:paraId="0D431DDE">
      <w:pPr>
        <w:pStyle w:val="6"/>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val="0"/>
          <w:color w:val="000000"/>
          <w:sz w:val="32"/>
          <w:szCs w:val="32"/>
          <w:lang w:eastAsia="zh-CN"/>
        </w:rPr>
      </w:pPr>
      <w:r>
        <w:rPr>
          <w:rFonts w:hint="eastAsia" w:ascii="楷体" w:hAnsi="楷体" w:eastAsia="楷体" w:cs="楷体"/>
          <w:b/>
          <w:bCs/>
          <w:color w:val="000000"/>
          <w:sz w:val="32"/>
          <w:szCs w:val="32"/>
        </w:rPr>
        <w:t>（二）</w:t>
      </w:r>
      <w:r>
        <w:rPr>
          <w:rFonts w:hint="eastAsia" w:ascii="楷体" w:hAnsi="楷体" w:eastAsia="楷体" w:cs="楷体"/>
          <w:b/>
          <w:bCs/>
          <w:color w:val="000000"/>
          <w:sz w:val="32"/>
          <w:szCs w:val="32"/>
          <w:lang w:eastAsia="zh-CN"/>
        </w:rPr>
        <w:t>对</w:t>
      </w:r>
      <w:r>
        <w:rPr>
          <w:rFonts w:hint="eastAsia" w:ascii="楷体" w:hAnsi="楷体" w:eastAsia="楷体" w:cs="楷体"/>
          <w:b/>
          <w:bCs w:val="0"/>
          <w:color w:val="000000"/>
          <w:sz w:val="32"/>
          <w:szCs w:val="32"/>
          <w:lang w:eastAsia="zh-CN"/>
        </w:rPr>
        <w:t>事故责任单位的处理建议</w:t>
      </w:r>
    </w:p>
    <w:p w14:paraId="5D49152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Cs/>
          <w:color w:val="000000"/>
          <w:sz w:val="32"/>
          <w:szCs w:val="32"/>
          <w:lang w:eastAsia="zh-CN"/>
        </w:rPr>
      </w:pPr>
      <w:r>
        <w:rPr>
          <w:rFonts w:hint="eastAsia" w:ascii="仿宋_GB2312" w:hAnsi="仿宋" w:eastAsia="仿宋_GB2312" w:cs="Times New Roman"/>
          <w:b w:val="0"/>
          <w:bCs w:val="0"/>
          <w:color w:val="000000" w:themeColor="text1"/>
          <w:kern w:val="2"/>
          <w:sz w:val="32"/>
          <w:szCs w:val="32"/>
          <w:lang w:val="en-US" w:eastAsia="zh-CN" w:bidi="ar-SA"/>
          <w14:textFill>
            <w14:solidFill>
              <w14:schemeClr w14:val="tx1"/>
            </w14:solidFill>
          </w14:textFill>
        </w:rPr>
        <w:t>辽宁鑫合公司，</w:t>
      </w: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未落实安全生产主体责任</w:t>
      </w:r>
      <w:r>
        <w:rPr>
          <w:rFonts w:hint="eastAsia" w:ascii="仿宋_GB2312" w:hAnsi="仿宋" w:eastAsia="仿宋_GB2312" w:cs="Times New Roman"/>
          <w:b w:val="0"/>
          <w:bCs w:val="0"/>
          <w:color w:val="000000" w:themeColor="text1"/>
          <w:kern w:val="2"/>
          <w:sz w:val="32"/>
          <w:szCs w:val="32"/>
          <w:lang w:val="en-US" w:eastAsia="zh-CN" w:bidi="ar-SA"/>
          <w14:textFill>
            <w14:solidFill>
              <w14:schemeClr w14:val="tx1"/>
            </w14:solidFill>
          </w14:textFill>
        </w:rPr>
        <w:t>，</w:t>
      </w:r>
      <w:r>
        <w:rPr>
          <w:rFonts w:hint="eastAsia" w:ascii="仿宋_GB2312" w:hAnsi="仿宋" w:eastAsia="仿宋_GB2312" w:cs="Times New Roman"/>
          <w:color w:val="000000" w:themeColor="text1"/>
          <w:kern w:val="2"/>
          <w:sz w:val="32"/>
          <w:szCs w:val="32"/>
          <w:lang w:val="en-US" w:eastAsia="zh-CN" w:bidi="ar-SA"/>
          <w14:textFill>
            <w14:solidFill>
              <w14:schemeClr w14:val="tx1"/>
            </w14:solidFill>
          </w14:textFill>
        </w:rPr>
        <w:t>实际不具备安全生产条件，未有效建立安全生产规章制度，作业现场安全管理缺失，未按照高处作业相关规定要求提供安全绳、安全</w:t>
      </w:r>
      <w:r>
        <w:rPr>
          <w:rFonts w:hint="eastAsia" w:ascii="仿宋_GB2312" w:hAnsi="仿宋" w:eastAsia="仿宋_GB2312" w:cs="Times New Roman"/>
          <w:color w:val="000000"/>
          <w:kern w:val="2"/>
          <w:sz w:val="32"/>
          <w:szCs w:val="32"/>
          <w:lang w:val="en-US" w:eastAsia="zh-CN" w:bidi="ar-SA"/>
        </w:rPr>
        <w:t>帽等劳动防护用品，作业前未制定相关工作方案及安全措施</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Cs/>
          <w:kern w:val="2"/>
          <w:sz w:val="32"/>
          <w:szCs w:val="32"/>
          <w:highlight w:val="none"/>
          <w:lang w:val="en-US" w:eastAsia="zh-CN" w:bidi="ar-SA"/>
        </w:rPr>
        <w:t>违反了《中华人民共和国安全生产法》第四条第一款</w:t>
      </w:r>
      <w:r>
        <w:rPr>
          <w:rStyle w:val="16"/>
          <w:rFonts w:hint="eastAsia" w:ascii="黑体" w:hAnsi="黑体" w:eastAsia="黑体" w:cs="黑体"/>
          <w:bCs/>
          <w:kern w:val="1"/>
          <w:sz w:val="32"/>
          <w:szCs w:val="32"/>
          <w:lang w:val="en-US" w:eastAsia="zh-CN"/>
        </w:rPr>
        <w:t>[</w:t>
      </w:r>
      <w:r>
        <w:rPr>
          <w:rStyle w:val="16"/>
          <w:rFonts w:hint="eastAsia" w:ascii="黑体" w:hAnsi="黑体" w:eastAsia="黑体" w:cs="黑体"/>
          <w:bCs/>
          <w:kern w:val="1"/>
          <w:sz w:val="32"/>
          <w:szCs w:val="32"/>
          <w:lang w:val="en-US" w:eastAsia="zh-CN"/>
        </w:rPr>
        <w:footnoteReference w:id="5"/>
      </w:r>
      <w:r>
        <w:rPr>
          <w:rStyle w:val="16"/>
          <w:rFonts w:hint="eastAsia" w:ascii="黑体" w:hAnsi="黑体" w:eastAsia="黑体" w:cs="黑体"/>
          <w:bCs/>
          <w:kern w:val="1"/>
          <w:sz w:val="32"/>
          <w:szCs w:val="32"/>
          <w:lang w:val="en-US" w:eastAsia="zh-CN"/>
        </w:rPr>
        <w:t>]</w:t>
      </w:r>
      <w:r>
        <w:rPr>
          <w:rFonts w:hint="eastAsia" w:ascii="仿宋_GB2312" w:hAnsi="仿宋_GB2312" w:eastAsia="仿宋_GB2312" w:cs="仿宋_GB2312"/>
          <w:bCs/>
          <w:kern w:val="2"/>
          <w:sz w:val="32"/>
          <w:szCs w:val="32"/>
          <w:highlight w:val="none"/>
          <w:lang w:val="en-US" w:eastAsia="zh-CN" w:bidi="ar-SA"/>
        </w:rPr>
        <w:t>，对事故发生负有责任，依据《中华人民共和国安全生产法》第一百一十四条第一款第（一）项</w:t>
      </w:r>
      <w:r>
        <w:rPr>
          <w:rStyle w:val="16"/>
          <w:rFonts w:hint="eastAsia" w:ascii="黑体" w:hAnsi="黑体" w:eastAsia="黑体" w:cs="黑体"/>
          <w:bCs/>
          <w:kern w:val="1"/>
          <w:sz w:val="32"/>
          <w:szCs w:val="32"/>
          <w:lang w:val="en-US" w:eastAsia="zh-CN"/>
        </w:rPr>
        <w:t>[</w:t>
      </w:r>
      <w:r>
        <w:rPr>
          <w:rStyle w:val="16"/>
          <w:rFonts w:hint="eastAsia" w:ascii="黑体" w:hAnsi="黑体" w:eastAsia="黑体" w:cs="黑体"/>
          <w:bCs/>
          <w:kern w:val="1"/>
          <w:sz w:val="32"/>
          <w:szCs w:val="32"/>
          <w:lang w:val="en-US" w:eastAsia="zh-CN"/>
        </w:rPr>
        <w:footnoteReference w:id="6"/>
      </w:r>
      <w:r>
        <w:rPr>
          <w:rStyle w:val="16"/>
          <w:rFonts w:hint="eastAsia" w:ascii="黑体" w:hAnsi="黑体" w:eastAsia="黑体" w:cs="黑体"/>
          <w:bCs/>
          <w:kern w:val="1"/>
          <w:sz w:val="32"/>
          <w:szCs w:val="32"/>
          <w:lang w:val="en-US" w:eastAsia="zh-CN"/>
        </w:rPr>
        <w:t>]</w:t>
      </w:r>
      <w:r>
        <w:rPr>
          <w:rFonts w:hint="eastAsia" w:ascii="黑体" w:hAnsi="黑体" w:eastAsia="黑体" w:cs="黑体"/>
          <w:bCs/>
          <w:kern w:val="1"/>
          <w:sz w:val="32"/>
          <w:szCs w:val="32"/>
          <w:lang w:val="en-US" w:eastAsia="zh-CN"/>
        </w:rPr>
        <w:t>，</w:t>
      </w:r>
      <w:r>
        <w:rPr>
          <w:rFonts w:hint="eastAsia" w:ascii="仿宋_GB2312" w:hAnsi="仿宋" w:eastAsia="仿宋_GB2312" w:cs="Times New Roman"/>
          <w:color w:val="000000"/>
          <w:kern w:val="2"/>
          <w:sz w:val="32"/>
          <w:szCs w:val="32"/>
          <w:lang w:val="en-US" w:eastAsia="zh-CN" w:bidi="ar-SA"/>
        </w:rPr>
        <w:t>建议由顺城区应急局对其给予行政处罚</w:t>
      </w:r>
      <w:r>
        <w:rPr>
          <w:rFonts w:hint="eastAsia" w:ascii="仿宋_GB2312" w:hAnsi="仿宋_GB2312" w:eastAsia="仿宋_GB2312" w:cs="仿宋_GB2312"/>
          <w:bCs/>
          <w:color w:val="000000"/>
          <w:sz w:val="32"/>
          <w:szCs w:val="32"/>
          <w:lang w:eastAsia="zh-CN"/>
        </w:rPr>
        <w:t>。</w:t>
      </w:r>
    </w:p>
    <w:p w14:paraId="27EE9E48">
      <w:pPr>
        <w:keepNext w:val="0"/>
        <w:keepLines w:val="0"/>
        <w:pageBreakBefore w:val="0"/>
        <w:widowControl w:val="0"/>
        <w:kinsoku/>
        <w:wordWrap/>
        <w:overflowPunct/>
        <w:topLinePunct w:val="0"/>
        <w:autoSpaceDE/>
        <w:autoSpaceDN/>
        <w:bidi w:val="0"/>
        <w:adjustRightInd/>
        <w:spacing w:line="560" w:lineRule="exact"/>
        <w:ind w:firstLine="643" w:firstLineChars="200"/>
        <w:textAlignment w:val="auto"/>
        <w:outlineLvl w:val="1"/>
        <w:rPr>
          <w:rFonts w:hint="eastAsia" w:ascii="楷体" w:hAnsi="楷体" w:eastAsia="楷体" w:cs="楷体"/>
          <w:b/>
          <w:bCs w:val="0"/>
          <w:color w:val="000000"/>
          <w:sz w:val="32"/>
          <w:szCs w:val="32"/>
          <w:lang w:val="en-US" w:eastAsia="zh-CN"/>
        </w:rPr>
      </w:pPr>
      <w:r>
        <w:rPr>
          <w:rFonts w:hint="eastAsia" w:ascii="楷体" w:hAnsi="楷体" w:eastAsia="楷体" w:cs="楷体"/>
          <w:b/>
          <w:bCs w:val="0"/>
          <w:color w:val="000000"/>
          <w:sz w:val="32"/>
          <w:szCs w:val="32"/>
          <w:lang w:val="en-US" w:eastAsia="zh-CN"/>
        </w:rPr>
        <w:t>（三）对有关单位处理建议</w:t>
      </w:r>
    </w:p>
    <w:p w14:paraId="402825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仿宋_GB2312" w:hAnsi="仿宋_GB2312" w:eastAsia="仿宋_GB2312" w:cs="仿宋_GB2312"/>
          <w:color w:val="auto"/>
          <w:sz w:val="32"/>
          <w:szCs w:val="32"/>
          <w:highlight w:val="none"/>
          <w:lang w:val="en-US" w:eastAsia="zh-CN"/>
        </w:rPr>
      </w:pPr>
      <w:r>
        <w:rPr>
          <w:rFonts w:hint="eastAsia" w:ascii="仿宋_GB2312" w:hAnsi="仿宋" w:eastAsia="仿宋_GB2312" w:cs="Times New Roman"/>
          <w:color w:val="000000"/>
          <w:kern w:val="2"/>
          <w:sz w:val="32"/>
          <w:szCs w:val="32"/>
          <w:lang w:val="en-US" w:eastAsia="zh-CN" w:bidi="ar-SA"/>
        </w:rPr>
        <w:t>市人防中心，将人防设备设施维修养护工程发包给实际不具备安全生产条件的辽宁鑫合公司，</w:t>
      </w:r>
      <w:r>
        <w:rPr>
          <w:rFonts w:hint="eastAsia" w:ascii="仿宋_GB2312" w:hAnsi="仿宋" w:eastAsia="仿宋_GB2312" w:cs="Times New Roman"/>
          <w:color w:val="auto"/>
          <w:kern w:val="2"/>
          <w:sz w:val="32"/>
          <w:szCs w:val="32"/>
          <w:lang w:val="en-US" w:eastAsia="zh-CN" w:bidi="ar-SA"/>
        </w:rPr>
        <w:t>未按照《人防设备设施维修养护合同》要求对施工作业情况及安全防范措施情况有效监督管理</w:t>
      </w:r>
      <w:r>
        <w:rPr>
          <w:rFonts w:hint="eastAsia" w:ascii="仿宋_GB2312" w:hAnsi="仿宋" w:eastAsia="仿宋_GB2312" w:cs="Times New Roman"/>
          <w:color w:val="000000"/>
          <w:kern w:val="2"/>
          <w:sz w:val="32"/>
          <w:szCs w:val="32"/>
          <w:lang w:val="en-US" w:eastAsia="zh-CN" w:bidi="ar-SA"/>
        </w:rPr>
        <w:t>，</w:t>
      </w:r>
      <w:r>
        <w:rPr>
          <w:rFonts w:hint="eastAsia" w:ascii="仿宋_GB2312" w:hAnsi="仿宋_GB2312" w:eastAsia="仿宋_GB2312" w:cs="仿宋_GB2312"/>
          <w:color w:val="auto"/>
          <w:kern w:val="2"/>
          <w:sz w:val="32"/>
          <w:szCs w:val="32"/>
          <w:highlight w:val="none"/>
          <w:u w:val="none"/>
          <w:lang w:val="en-US" w:eastAsia="zh-CN" w:bidi="ar-SA"/>
        </w:rPr>
        <w:t>建议向市发改委做出书面深刻检查</w:t>
      </w:r>
      <w:r>
        <w:rPr>
          <w:rFonts w:hint="eastAsia" w:ascii="仿宋_GB2312" w:hAnsi="仿宋_GB2312" w:eastAsia="仿宋_GB2312" w:cs="仿宋_GB2312"/>
          <w:color w:val="auto"/>
          <w:sz w:val="32"/>
          <w:szCs w:val="32"/>
          <w:highlight w:val="none"/>
          <w:lang w:val="en-US" w:eastAsia="zh-CN"/>
        </w:rPr>
        <w:t>。</w:t>
      </w:r>
    </w:p>
    <w:p w14:paraId="23E0CC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2"/>
        <w:rPr>
          <w:rFonts w:hint="eastAsia" w:ascii="黑体" w:hAnsi="黑体" w:eastAsia="黑体" w:cs="黑体"/>
          <w:sz w:val="32"/>
          <w:szCs w:val="32"/>
          <w:shd w:val="clear" w:color="auto" w:fill="FFFFFF"/>
          <w:lang w:val="en-US" w:eastAsia="zh-CN"/>
        </w:rPr>
      </w:pPr>
      <w:r>
        <w:rPr>
          <w:rFonts w:hint="eastAsia" w:ascii="黑体" w:hAnsi="黑体" w:eastAsia="黑体" w:cs="黑体"/>
          <w:sz w:val="32"/>
          <w:szCs w:val="32"/>
          <w:shd w:val="clear" w:color="auto" w:fill="FFFFFF"/>
          <w:lang w:val="en-US" w:eastAsia="zh-CN"/>
        </w:rPr>
        <w:t>六、</w:t>
      </w:r>
      <w:r>
        <w:rPr>
          <w:rFonts w:hint="eastAsia" w:ascii="黑体" w:hAnsi="黑体" w:eastAsia="黑体" w:cs="黑体"/>
          <w:sz w:val="32"/>
          <w:szCs w:val="32"/>
          <w:shd w:val="clear" w:color="auto" w:fill="FFFFFF"/>
        </w:rPr>
        <w:t>事故</w:t>
      </w:r>
      <w:r>
        <w:rPr>
          <w:rFonts w:hint="eastAsia" w:ascii="黑体" w:hAnsi="黑体" w:eastAsia="黑体" w:cs="黑体"/>
          <w:sz w:val="32"/>
          <w:szCs w:val="32"/>
          <w:shd w:val="clear" w:color="auto" w:fill="FFFFFF"/>
          <w:lang w:eastAsia="zh-CN"/>
        </w:rPr>
        <w:t>整改及</w:t>
      </w:r>
      <w:r>
        <w:rPr>
          <w:rFonts w:hint="eastAsia" w:ascii="黑体" w:hAnsi="黑体" w:eastAsia="黑体" w:cs="黑体"/>
          <w:sz w:val="32"/>
          <w:szCs w:val="32"/>
          <w:shd w:val="clear" w:color="auto" w:fill="FFFFFF"/>
        </w:rPr>
        <w:t>防范措施</w:t>
      </w:r>
    </w:p>
    <w:p w14:paraId="063EA00E">
      <w:pPr>
        <w:keepNext w:val="0"/>
        <w:keepLines w:val="0"/>
        <w:pageBreakBefore w:val="0"/>
        <w:numPr>
          <w:ilvl w:val="0"/>
          <w:numId w:val="0"/>
        </w:numPr>
        <w:kinsoku/>
        <w:wordWrap/>
        <w:overflowPunct/>
        <w:topLinePunct w:val="0"/>
        <w:bidi w:val="0"/>
        <w:spacing w:line="560" w:lineRule="exact"/>
        <w:ind w:firstLine="643" w:firstLineChars="200"/>
        <w:textAlignment w:val="auto"/>
        <w:outlineLvl w:val="0"/>
        <w:rPr>
          <w:rFonts w:hint="eastAsia" w:ascii="楷体" w:hAnsi="楷体" w:eastAsia="楷体" w:cs="楷体"/>
          <w:b/>
          <w:bCs w:val="0"/>
          <w:sz w:val="32"/>
          <w:szCs w:val="32"/>
          <w:highlight w:val="none"/>
          <w:lang w:val="en-US" w:eastAsia="zh-CN"/>
        </w:rPr>
      </w:pPr>
      <w:r>
        <w:rPr>
          <w:rFonts w:hint="eastAsia" w:ascii="楷体" w:hAnsi="楷体" w:eastAsia="楷体" w:cs="楷体"/>
          <w:b/>
          <w:bCs w:val="0"/>
          <w:sz w:val="32"/>
          <w:szCs w:val="32"/>
          <w:highlight w:val="none"/>
          <w:lang w:val="en-US" w:eastAsia="zh-CN"/>
        </w:rPr>
        <w:t>（一）</w:t>
      </w:r>
      <w:r>
        <w:rPr>
          <w:rFonts w:hint="eastAsia" w:ascii="楷体" w:hAnsi="楷体" w:eastAsia="楷体" w:cs="楷体"/>
          <w:b/>
          <w:bCs w:val="0"/>
          <w:kern w:val="2"/>
          <w:sz w:val="32"/>
          <w:szCs w:val="32"/>
          <w:highlight w:val="none"/>
          <w:lang w:val="en-US" w:eastAsia="zh-CN" w:bidi="ar-SA"/>
        </w:rPr>
        <w:t>辽宁鑫合公司</w:t>
      </w:r>
    </w:p>
    <w:p w14:paraId="6E630B26">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 w:eastAsia="仿宋_GB2312" w:cs="Times New Roman"/>
          <w:color w:val="auto"/>
          <w:kern w:val="2"/>
          <w:sz w:val="32"/>
          <w:szCs w:val="32"/>
          <w:lang w:val="en-US" w:eastAsia="zh-CN" w:bidi="ar-SA"/>
        </w:rPr>
      </w:pPr>
      <w:r>
        <w:rPr>
          <w:rFonts w:hint="eastAsia" w:ascii="仿宋_GB2312" w:hAnsi="仿宋" w:eastAsia="仿宋_GB2312" w:cs="Times New Roman"/>
          <w:color w:val="auto"/>
          <w:kern w:val="2"/>
          <w:sz w:val="32"/>
          <w:szCs w:val="32"/>
          <w:lang w:val="en-US" w:eastAsia="zh-CN" w:bidi="ar-SA"/>
        </w:rPr>
        <w:t>一是要落实好企业</w:t>
      </w:r>
      <w:r>
        <w:rPr>
          <w:rFonts w:hint="eastAsia" w:ascii="仿宋_GB2312" w:hAnsi="仿宋_GB2312" w:eastAsia="仿宋_GB2312" w:cs="仿宋_GB2312"/>
          <w:color w:val="auto"/>
          <w:sz w:val="32"/>
          <w:szCs w:val="32"/>
          <w:lang w:val="en-US" w:eastAsia="zh-CN"/>
        </w:rPr>
        <w:t>安全生产主体责任，强化安全生产管理，</w:t>
      </w:r>
      <w:r>
        <w:rPr>
          <w:rFonts w:hint="eastAsia" w:ascii="仿宋_GB2312" w:hAnsi="仿宋" w:eastAsia="仿宋_GB2312" w:cs="Times New Roman"/>
          <w:color w:val="auto"/>
          <w:kern w:val="2"/>
          <w:sz w:val="32"/>
          <w:szCs w:val="32"/>
          <w:lang w:val="en-US" w:eastAsia="zh-CN" w:bidi="ar-SA"/>
        </w:rPr>
        <w:t>作业前要做好安全风险辨识，严禁冒险作业。二是要针对高处作业编制专项施工方案，做好安全交底，给作业人员配备安全绳、安全帽等防护用品。三是要加强对作业人员的安全教育培训，充分告知有关安全注意事项，同时严格现场监督管理，做到不安全不作业。</w:t>
      </w:r>
    </w:p>
    <w:p w14:paraId="4CAB7FD7">
      <w:pPr>
        <w:keepNext w:val="0"/>
        <w:keepLines w:val="0"/>
        <w:pageBreakBefore w:val="0"/>
        <w:numPr>
          <w:ilvl w:val="0"/>
          <w:numId w:val="0"/>
        </w:numPr>
        <w:kinsoku/>
        <w:wordWrap/>
        <w:overflowPunct/>
        <w:topLinePunct w:val="0"/>
        <w:bidi w:val="0"/>
        <w:spacing w:line="560" w:lineRule="exact"/>
        <w:ind w:firstLine="643" w:firstLineChars="200"/>
        <w:textAlignment w:val="auto"/>
        <w:outlineLvl w:val="0"/>
        <w:rPr>
          <w:rFonts w:hint="eastAsia" w:ascii="楷体" w:hAnsi="楷体" w:eastAsia="楷体" w:cs="楷体"/>
          <w:b/>
          <w:bCs w:val="0"/>
          <w:sz w:val="32"/>
          <w:szCs w:val="32"/>
          <w:highlight w:val="none"/>
          <w:lang w:val="en-US" w:eastAsia="zh-CN"/>
        </w:rPr>
      </w:pPr>
      <w:r>
        <w:rPr>
          <w:rFonts w:hint="eastAsia" w:ascii="楷体" w:hAnsi="楷体" w:eastAsia="楷体" w:cs="楷体"/>
          <w:b/>
          <w:bCs w:val="0"/>
          <w:sz w:val="32"/>
          <w:szCs w:val="32"/>
          <w:highlight w:val="none"/>
          <w:lang w:val="en-US" w:eastAsia="zh-CN"/>
        </w:rPr>
        <w:t>（二）市人防中心</w:t>
      </w:r>
    </w:p>
    <w:p w14:paraId="7D506CF1">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 w:eastAsia="仿宋_GB2312" w:cs="Times New Roman"/>
          <w:color w:val="auto"/>
          <w:kern w:val="2"/>
          <w:sz w:val="32"/>
          <w:szCs w:val="32"/>
          <w:lang w:val="en-US" w:eastAsia="zh-CN" w:bidi="ar-SA"/>
        </w:rPr>
      </w:pPr>
      <w:r>
        <w:rPr>
          <w:rFonts w:hint="eastAsia" w:ascii="仿宋_GB2312" w:hAnsi="仿宋" w:eastAsia="仿宋_GB2312" w:cs="Times New Roman"/>
          <w:color w:val="auto"/>
          <w:kern w:val="2"/>
          <w:sz w:val="32"/>
          <w:szCs w:val="32"/>
          <w:lang w:val="en-US" w:eastAsia="zh-CN" w:bidi="ar-SA"/>
        </w:rPr>
        <w:t>一是要把好工程项目发包资质审核关，严禁将工程项目发包给无相关资质或不具备安全生产条件的单位。二是要加强对承包单位的安全生产统一协调管理，确保承包单位依法依规安全作业。</w:t>
      </w:r>
    </w:p>
    <w:p w14:paraId="76F18C98">
      <w:pPr>
        <w:pStyle w:val="6"/>
        <w:jc w:val="both"/>
        <w:rPr>
          <w:rFonts w:hint="default" w:ascii="仿宋" w:hAnsi="仿宋" w:eastAsia="仿宋" w:cs="仿宋"/>
          <w:kern w:val="2"/>
          <w:sz w:val="32"/>
          <w:szCs w:val="32"/>
          <w:lang w:val="en-US" w:eastAsia="zh-CN" w:bidi="ar-SA"/>
        </w:rPr>
      </w:pPr>
      <w:bookmarkStart w:id="0" w:name="_GoBack"/>
      <w:bookmarkEnd w:id="0"/>
    </w:p>
    <w:sectPr>
      <w:headerReference r:id="rId4" w:type="default"/>
      <w:footerReference r:id="rId5" w:type="default"/>
      <w:pgSz w:w="11906" w:h="16838"/>
      <w:pgMar w:top="1440" w:right="1797" w:bottom="1440" w:left="179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T Extra">
    <w:panose1 w:val="05050102010205020202"/>
    <w:charset w:val="02"/>
    <w:family w:val="roman"/>
    <w:pitch w:val="default"/>
    <w:sig w:usb0="8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BFDE9">
    <w:pPr>
      <w:pStyle w:val="6"/>
      <w:rPr>
        <w:sz w:val="24"/>
        <w:szCs w:val="24"/>
      </w:rPr>
    </w:pPr>
    <w:r>
      <w:rPr>
        <w:rFonts w:hint="eastAsia" w:ascii="宋体" w:hAnsi="宋体" w:eastAsia="宋体" w:cs="宋体"/>
        <w:sz w:val="24"/>
      </w:rPr>
      <mc:AlternateContent>
        <mc:Choice Requires="wps">
          <w:drawing>
            <wp:anchor distT="0" distB="0" distL="114300" distR="114300" simplePos="0" relativeHeight="251661312" behindDoc="0" locked="0" layoutInCell="1" allowOverlap="1">
              <wp:simplePos x="0" y="0"/>
              <wp:positionH relativeFrom="margin">
                <wp:posOffset>2623185</wp:posOffset>
              </wp:positionH>
              <wp:positionV relativeFrom="paragraph">
                <wp:posOffset>0</wp:posOffset>
              </wp:positionV>
              <wp:extent cx="762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76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ED401">
                          <w:pPr>
                            <w:pStyle w:val="6"/>
                            <w:rPr>
                              <w:rFonts w:hint="eastAsia" w:ascii="宋体" w:hAnsi="宋体" w:eastAsia="宋体" w:cs="宋体"/>
                              <w:lang w:val="en-US"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55pt;margin-top:0pt;height:144pt;width:6pt;mso-position-horizontal-relative:margin;z-index:251661312;mso-width-relative:page;mso-height-relative:page;" filled="f" stroked="f" coordsize="21600,21600" o:gfxdata="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wQj3WAAAACAEAAA8AAAAAAAAAAQAgAAAAIgAAAGRycy9kb3ducmV2&#10;LnhtbFBLAQIUABQAAAAIAIdO4kDFz0BrNwIAAGEEAAAOAAAAAAAAAAEAIAAAACUBAABkcnMvZTJv&#10;RG9jLnhtbFBLBQYAAAAABgAGAFkBAADOBQAAAAA=&#10;">
              <v:fill on="f" focussize="0,0"/>
              <v:stroke on="f" weight="0.5pt"/>
              <v:imagedata o:title=""/>
              <o:lock v:ext="edit" aspectratio="f"/>
              <v:textbox inset="0mm,0mm,0mm,0mm" style="mso-fit-shape-to-text:t;">
                <w:txbxContent>
                  <w:p w14:paraId="782ED401">
                    <w:pPr>
                      <w:pStyle w:val="6"/>
                      <w:rPr>
                        <w:rFonts w:hint="eastAsia" w:ascii="宋体" w:hAnsi="宋体" w:eastAsia="宋体" w:cs="宋体"/>
                        <w:lang w:val="en-US" w:eastAsia="zh-CN"/>
                      </w:rPr>
                    </w:pP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margin">
                <wp:posOffset>2604135</wp:posOffset>
              </wp:positionH>
              <wp:positionV relativeFrom="paragraph">
                <wp:posOffset>0</wp:posOffset>
              </wp:positionV>
              <wp:extent cx="401955" cy="1587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01955" cy="158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15AC1">
                          <w:pPr>
                            <w:pStyle w:val="6"/>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05pt;margin-top:0pt;height:12.5pt;width:31.65pt;mso-position-horizontal-relative:margin;z-index:251662336;mso-width-relative:page;mso-height-relative:page;" filled="f" stroked="f" coordsize="21600,21600" o:gfxdata="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KPQ8DWAAAABwEAAA8AAAAAAAAAAQAgAAAAIgAAAGRycy9kb3ducmV2&#10;LnhtbFBLAQIUABQAAAAIAIdO4kBtuwaONwIAAGMEAAAOAAAAAAAAAAEAIAAAACUBAABkcnMvZTJv&#10;RG9jLnhtbFBLBQYAAAAABgAGAFkBAADOBQAAAAA=&#10;">
              <v:fill on="f" focussize="0,0"/>
              <v:stroke on="f" weight="0.5pt"/>
              <v:imagedata o:title=""/>
              <o:lock v:ext="edit" aspectratio="f"/>
              <v:textbox inset="0mm,0mm,0mm,0mm">
                <w:txbxContent>
                  <w:p w14:paraId="25715AC1">
                    <w:pPr>
                      <w:pStyle w:val="6"/>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125A82">
                          <w:pPr>
                            <w:pStyle w:val="6"/>
                          </w:pP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ZvO94BAAC+AwAADgAAAGRycy9lMm9Eb2MueG1srVPBjtMwEL0j8Q+W&#10;7zTZIkE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v6cMycsDfz84/v55+/zr2/s&#10;Z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llm873gEAAL4DAAAOAAAAAAAA&#10;AAEAIAAAAB4BAABkcnMvZTJvRG9jLnhtbFBLBQYAAAAABgAGAFkBAABuBQAAAAA=&#10;">
              <v:fill on="f" focussize="0,0"/>
              <v:stroke on="f"/>
              <v:imagedata o:title=""/>
              <o:lock v:ext="edit" aspectratio="f"/>
              <v:textbox inset="0mm,0mm,0mm,0mm" style="mso-fit-shape-to-text:t;">
                <w:txbxContent>
                  <w:p w14:paraId="17125A82">
                    <w:pPr>
                      <w:pStyle w:val="6"/>
                    </w:pPr>
                  </w:p>
                </w:txbxContent>
              </v:textbox>
            </v:shape>
          </w:pict>
        </mc:Fallback>
      </mc:AlternateContent>
    </w:r>
    <w:r>
      <w:rPr>
        <w:rFonts w:hint="eastAsia" w:ascii="宋体" w:hAnsi="宋体" w:eastAsia="宋体" w:cs="宋体"/>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14:paraId="74BED891">
      <w:pPr>
        <w:pStyle w:val="8"/>
        <w:snapToGrid w:val="0"/>
        <w:rPr>
          <w:rFonts w:hint="default"/>
          <w:highlight w:val="yellow"/>
          <w:lang w:val="en-US"/>
        </w:rPr>
      </w:pPr>
      <w:r>
        <w:rPr>
          <w:rStyle w:val="16"/>
          <w:rFonts w:hint="eastAsia" w:ascii="宋体" w:hAnsi="宋体" w:eastAsia="宋体" w:cs="宋体"/>
          <w:sz w:val="24"/>
          <w:szCs w:val="24"/>
          <w:vertAlign w:val="baseline"/>
          <w:lang w:eastAsia="zh-CN"/>
        </w:rPr>
        <w:t>[</w:t>
      </w:r>
      <w:r>
        <w:rPr>
          <w:rStyle w:val="16"/>
          <w:rFonts w:hint="eastAsia" w:ascii="宋体" w:hAnsi="宋体" w:eastAsia="宋体" w:cs="宋体"/>
          <w:sz w:val="24"/>
          <w:szCs w:val="24"/>
          <w:vertAlign w:val="baseline"/>
          <w:lang w:eastAsia="zh-CN"/>
        </w:rPr>
        <w:footnoteRef/>
      </w:r>
      <w:r>
        <w:rPr>
          <w:rStyle w:val="16"/>
          <w:rFonts w:hint="eastAsia" w:ascii="宋体" w:hAnsi="宋体" w:eastAsia="宋体" w:cs="宋体"/>
          <w:sz w:val="24"/>
          <w:szCs w:val="24"/>
          <w:vertAlign w:val="baseline"/>
          <w:lang w:eastAsia="zh-CN"/>
        </w:rPr>
        <w:t>]</w:t>
      </w:r>
      <w:r>
        <w:rPr>
          <w:rFonts w:hint="eastAsia" w:ascii="宋体" w:hAnsi="宋体" w:cs="宋体"/>
          <w:sz w:val="24"/>
          <w:szCs w:val="24"/>
          <w:highlight w:val="none"/>
          <w:vertAlign w:val="baseline"/>
          <w:lang w:val="en-US" w:eastAsia="zh-CN"/>
        </w:rPr>
        <w:t>2023年11月8日《</w:t>
      </w:r>
      <w:r>
        <w:rPr>
          <w:rFonts w:hint="eastAsia" w:ascii="宋体" w:hAnsi="宋体" w:cs="宋体"/>
          <w:sz w:val="24"/>
          <w:szCs w:val="24"/>
          <w:vertAlign w:val="baseline"/>
          <w:lang w:val="en-US" w:eastAsia="zh-CN"/>
        </w:rPr>
        <w:t>市人防中心会议纪要》四、确定人防服务保障中心所属人防工程及设备设施维保单位。会议决定：确定抚顺市中光建设工程有限公司、抚顺信合装饰有限公司、抚顺市（辽宁）鑫合建筑装饰装修工程有限公司为人防服务保障中心设备设施维护保养单位，合同期为一年。维修养护项目，每次分别由维保单位报价，由最低价者承接施工，紧急抢修项目可直接指定，价格以评审中心评审</w:t>
      </w:r>
      <w:r>
        <w:rPr>
          <w:rFonts w:hint="eastAsia" w:ascii="宋体" w:hAnsi="宋体" w:cs="宋体"/>
          <w:sz w:val="24"/>
          <w:szCs w:val="24"/>
          <w:highlight w:val="none"/>
          <w:vertAlign w:val="baseline"/>
          <w:lang w:val="en-US" w:eastAsia="zh-CN"/>
        </w:rPr>
        <w:t>价格为准。后期因辽宁鑫合公司完成工作情况比另外两家单位要好，市人防中心便只与辽宁鑫合公司续约，辽宁鑫合公司成为唯一管护单位。</w:t>
      </w:r>
    </w:p>
  </w:footnote>
  <w:footnote w:id="1">
    <w:p w14:paraId="53B6B4FB">
      <w:pPr>
        <w:pStyle w:val="8"/>
        <w:snapToGrid w:val="0"/>
        <w:rPr>
          <w:rFonts w:hint="default"/>
          <w:lang w:val="en-US"/>
        </w:rPr>
      </w:pPr>
      <w:r>
        <w:rPr>
          <w:rStyle w:val="16"/>
          <w:rFonts w:hint="eastAsia" w:ascii="宋体" w:hAnsi="宋体" w:eastAsia="宋体" w:cs="宋体"/>
          <w:sz w:val="24"/>
          <w:szCs w:val="24"/>
          <w:vertAlign w:val="baseline"/>
          <w:lang w:eastAsia="zh-CN"/>
        </w:rPr>
        <w:t>[</w:t>
      </w:r>
      <w:r>
        <w:rPr>
          <w:rStyle w:val="16"/>
          <w:rFonts w:hint="eastAsia" w:ascii="宋体" w:hAnsi="宋体" w:eastAsia="宋体" w:cs="宋体"/>
          <w:sz w:val="24"/>
          <w:szCs w:val="24"/>
          <w:vertAlign w:val="baseline"/>
          <w:lang w:eastAsia="zh-CN"/>
        </w:rPr>
        <w:footnoteRef/>
      </w:r>
      <w:r>
        <w:rPr>
          <w:rStyle w:val="16"/>
          <w:rFonts w:hint="eastAsia" w:ascii="宋体" w:hAnsi="宋体" w:eastAsia="宋体" w:cs="宋体"/>
          <w:sz w:val="24"/>
          <w:szCs w:val="24"/>
          <w:vertAlign w:val="baseline"/>
          <w:lang w:eastAsia="zh-CN"/>
        </w:rPr>
        <w:t>]</w:t>
      </w:r>
      <w:r>
        <w:rPr>
          <w:rFonts w:hint="eastAsia" w:ascii="宋体" w:hAnsi="宋体" w:cs="宋体"/>
          <w:sz w:val="24"/>
          <w:szCs w:val="24"/>
          <w:vertAlign w:val="baseline"/>
          <w:lang w:eastAsia="zh-CN"/>
        </w:rPr>
        <w:t>《</w:t>
      </w:r>
      <w:r>
        <w:rPr>
          <w:rFonts w:hint="eastAsia" w:ascii="宋体" w:hAnsi="宋体" w:cs="宋体"/>
          <w:sz w:val="24"/>
          <w:szCs w:val="24"/>
          <w:vertAlign w:val="baseline"/>
          <w:lang w:val="en-US" w:eastAsia="zh-CN"/>
        </w:rPr>
        <w:t>企业职工伤亡事故分类》中伤害程度分类，重伤：指相当于附录B表定损工作日等于和超过105日的失能伤害。</w:t>
      </w:r>
    </w:p>
  </w:footnote>
  <w:footnote w:id="2">
    <w:p w14:paraId="4EB9818E">
      <w:pPr>
        <w:pStyle w:val="8"/>
        <w:snapToGrid w:val="0"/>
        <w:rPr>
          <w:rFonts w:hint="default"/>
          <w:highlight w:val="none"/>
          <w:lang w:val="en-US"/>
        </w:rPr>
      </w:pPr>
      <w:r>
        <w:rPr>
          <w:rStyle w:val="16"/>
          <w:rFonts w:hint="eastAsia" w:ascii="宋体" w:hAnsi="宋体" w:eastAsia="宋体" w:cs="宋体"/>
          <w:sz w:val="24"/>
          <w:szCs w:val="24"/>
          <w:vertAlign w:val="baseline"/>
          <w:lang w:eastAsia="zh-CN"/>
        </w:rPr>
        <w:t>[</w:t>
      </w:r>
      <w:r>
        <w:rPr>
          <w:rStyle w:val="16"/>
          <w:rFonts w:hint="eastAsia" w:ascii="宋体" w:hAnsi="宋体" w:eastAsia="宋体" w:cs="宋体"/>
          <w:sz w:val="24"/>
          <w:szCs w:val="24"/>
          <w:vertAlign w:val="baseline"/>
          <w:lang w:eastAsia="zh-CN"/>
        </w:rPr>
        <w:footnoteRef/>
      </w:r>
      <w:r>
        <w:rPr>
          <w:rStyle w:val="16"/>
          <w:rFonts w:hint="eastAsia" w:ascii="宋体" w:hAnsi="宋体" w:eastAsia="宋体" w:cs="宋体"/>
          <w:sz w:val="24"/>
          <w:szCs w:val="24"/>
          <w:vertAlign w:val="baseline"/>
          <w:lang w:eastAsia="zh-CN"/>
        </w:rPr>
        <w:t>]</w:t>
      </w:r>
      <w:r>
        <w:rPr>
          <w:rFonts w:hint="eastAsia" w:ascii="宋体" w:hAnsi="宋体" w:cs="宋体"/>
          <w:sz w:val="24"/>
          <w:szCs w:val="24"/>
          <w:highlight w:val="none"/>
          <w:vertAlign w:val="baseline"/>
          <w:lang w:eastAsia="zh-CN"/>
        </w:rPr>
        <w:t>《</w:t>
      </w:r>
      <w:r>
        <w:rPr>
          <w:rFonts w:hint="eastAsia" w:ascii="宋体" w:hAnsi="宋体" w:cs="宋体"/>
          <w:sz w:val="24"/>
          <w:szCs w:val="24"/>
          <w:highlight w:val="none"/>
          <w:vertAlign w:val="baseline"/>
          <w:lang w:val="en-US" w:eastAsia="zh-CN"/>
        </w:rPr>
        <w:t>事故伤害损失工作日标准》中头皮、颅脑损伤的9.9中型颅脑损伤损失工作日超过105日。</w:t>
      </w:r>
    </w:p>
  </w:footnote>
  <w:footnote w:id="3">
    <w:p w14:paraId="007ABDDD">
      <w:pPr>
        <w:pStyle w:val="8"/>
        <w:snapToGrid w:val="0"/>
      </w:pPr>
      <w:r>
        <w:rPr>
          <w:rStyle w:val="16"/>
          <w:rFonts w:hint="eastAsia" w:ascii="宋体" w:hAnsi="宋体" w:eastAsia="宋体" w:cs="宋体"/>
          <w:sz w:val="24"/>
          <w:szCs w:val="24"/>
          <w:vertAlign w:val="baseline"/>
        </w:rPr>
        <w:t>[</w:t>
      </w:r>
      <w:r>
        <w:rPr>
          <w:rStyle w:val="16"/>
          <w:rFonts w:hint="eastAsia" w:ascii="宋体" w:hAnsi="宋体" w:eastAsia="宋体" w:cs="宋体"/>
          <w:sz w:val="24"/>
          <w:szCs w:val="24"/>
          <w:vertAlign w:val="baseline"/>
        </w:rPr>
        <w:footnoteRef/>
      </w:r>
      <w:r>
        <w:rPr>
          <w:rStyle w:val="16"/>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w:t>
      </w:r>
      <w:r>
        <w:rPr>
          <w:rFonts w:hint="eastAsia" w:ascii="宋体" w:hAnsi="宋体" w:eastAsia="宋体" w:cs="宋体"/>
          <w:sz w:val="24"/>
          <w:szCs w:val="24"/>
          <w:vertAlign w:val="baseline"/>
          <w:lang w:val="en-US" w:eastAsia="zh-CN"/>
        </w:rPr>
        <w:t>第二十一条 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4">
    <w:p w14:paraId="1E9E248E">
      <w:pPr>
        <w:pStyle w:val="8"/>
        <w:keepNext w:val="0"/>
        <w:keepLines w:val="0"/>
        <w:pageBreakBefore w:val="0"/>
        <w:kinsoku/>
        <w:wordWrap/>
        <w:overflowPunct/>
        <w:topLinePunct w:val="0"/>
        <w:bidi w:val="0"/>
        <w:adjustRightInd/>
        <w:snapToGrid w:val="0"/>
        <w:spacing w:line="240" w:lineRule="auto"/>
        <w:textAlignment w:val="auto"/>
      </w:pPr>
      <w:r>
        <w:rPr>
          <w:rStyle w:val="16"/>
          <w:rFonts w:hint="eastAsia" w:ascii="宋体" w:hAnsi="宋体" w:eastAsia="宋体" w:cs="宋体"/>
          <w:sz w:val="24"/>
          <w:szCs w:val="24"/>
          <w:vertAlign w:val="baseline"/>
        </w:rPr>
        <w:t>[</w:t>
      </w:r>
      <w:r>
        <w:rPr>
          <w:rStyle w:val="16"/>
          <w:rFonts w:hint="eastAsia" w:ascii="宋体" w:hAnsi="宋体" w:eastAsia="宋体" w:cs="宋体"/>
          <w:sz w:val="24"/>
          <w:szCs w:val="24"/>
          <w:vertAlign w:val="baseline"/>
        </w:rPr>
        <w:footnoteRef/>
      </w:r>
      <w:r>
        <w:rPr>
          <w:rStyle w:val="16"/>
          <w:rFonts w:hint="eastAsia" w:ascii="宋体" w:hAnsi="宋体" w:eastAsia="宋体" w:cs="宋体"/>
          <w:sz w:val="24"/>
          <w:szCs w:val="24"/>
          <w:vertAlign w:val="baseline"/>
        </w:rPr>
        <w:t>]</w:t>
      </w:r>
      <w:r>
        <w:rPr>
          <w:rFonts w:hint="eastAsia" w:ascii="宋体" w:hAnsi="宋体" w:eastAsia="宋体" w:cs="宋体"/>
          <w:kern w:val="2"/>
          <w:sz w:val="24"/>
          <w:szCs w:val="24"/>
          <w:vertAlign w:val="baseline"/>
          <w:lang w:val="en-US" w:eastAsia="zh-CN" w:bidi="ar-SA"/>
        </w:rPr>
        <w:t>《中华人民共和国安全生产法》第九十五条第（一）项 生产经营单位的主要负责人未履行本法规定的安全生产管理职责，导致发生生产安全事故的，由应急管理部门依照下列规定处以罚款:（一）发生一般事故的，处上一年年收入百分之四十的罚款；</w:t>
      </w:r>
    </w:p>
  </w:footnote>
  <w:footnote w:id="5">
    <w:p w14:paraId="1D38F802">
      <w:pPr>
        <w:pStyle w:val="8"/>
        <w:snapToGrid w:val="0"/>
        <w:rPr>
          <w:rStyle w:val="16"/>
          <w:rFonts w:hint="eastAsia" w:ascii="宋体" w:hAnsi="宋体" w:eastAsia="宋体" w:cs="宋体"/>
          <w:sz w:val="24"/>
          <w:szCs w:val="24"/>
          <w:vertAlign w:val="baseline"/>
          <w:lang w:val="en-US" w:eastAsia="zh-CN"/>
        </w:rPr>
      </w:pPr>
      <w:r>
        <w:rPr>
          <w:rStyle w:val="16"/>
          <w:rFonts w:hint="eastAsia" w:ascii="宋体" w:hAnsi="宋体" w:eastAsia="宋体" w:cs="宋体"/>
          <w:sz w:val="24"/>
          <w:szCs w:val="24"/>
          <w:vertAlign w:val="baseline"/>
          <w:lang w:val="en-US" w:eastAsia="zh-CN"/>
        </w:rPr>
        <w:t>[</w:t>
      </w:r>
      <w:r>
        <w:rPr>
          <w:rStyle w:val="16"/>
          <w:rFonts w:hint="eastAsia" w:ascii="宋体" w:hAnsi="宋体" w:eastAsia="宋体" w:cs="宋体"/>
          <w:sz w:val="24"/>
          <w:szCs w:val="24"/>
          <w:vertAlign w:val="baseline"/>
          <w:lang w:val="en-US" w:eastAsia="zh-CN"/>
        </w:rPr>
        <w:footnoteRef/>
      </w:r>
      <w:r>
        <w:rPr>
          <w:rStyle w:val="16"/>
          <w:rFonts w:hint="eastAsia" w:ascii="宋体" w:hAnsi="宋体" w:eastAsia="宋体" w:cs="宋体"/>
          <w:sz w:val="24"/>
          <w:szCs w:val="24"/>
          <w:vertAlign w:val="baseline"/>
          <w:lang w:val="en-US" w:eastAsia="zh-CN"/>
        </w:rPr>
        <w:t>]</w:t>
      </w:r>
      <w:r>
        <w:rPr>
          <w:rFonts w:hint="eastAsia" w:ascii="宋体" w:hAnsi="宋体" w:cs="宋体"/>
          <w:sz w:val="24"/>
          <w:szCs w:val="24"/>
          <w:vertAlign w:val="baseline"/>
          <w:lang w:eastAsia="zh-CN"/>
        </w:rPr>
        <w:t>《中华人民共和国安全生产法》</w:t>
      </w:r>
      <w:r>
        <w:rPr>
          <w:rStyle w:val="16"/>
          <w:rFonts w:hint="eastAsia" w:ascii="宋体" w:hAnsi="宋体" w:eastAsia="宋体" w:cs="宋体"/>
          <w:sz w:val="24"/>
          <w:szCs w:val="24"/>
          <w:vertAlign w:val="baseline"/>
          <w:lang w:val="en-US" w:eastAsia="zh-CN"/>
        </w:rPr>
        <w:t>第四条</w:t>
      </w:r>
      <w:r>
        <w:rPr>
          <w:rFonts w:hint="eastAsia" w:ascii="宋体" w:hAnsi="宋体" w:eastAsia="宋体" w:cs="宋体"/>
          <w:sz w:val="24"/>
          <w:szCs w:val="24"/>
          <w:vertAlign w:val="baseline"/>
          <w:lang w:val="en-US" w:eastAsia="zh-CN"/>
        </w:rPr>
        <w:t xml:space="preserve"> </w:t>
      </w:r>
      <w:r>
        <w:rPr>
          <w:rStyle w:val="16"/>
          <w:rFonts w:hint="eastAsia" w:ascii="宋体" w:hAnsi="宋体" w:eastAsia="宋体" w:cs="宋体"/>
          <w:sz w:val="24"/>
          <w:szCs w:val="24"/>
          <w:vertAlign w:val="baseline"/>
          <w:lang w:val="en-US" w:eastAsia="zh-CN"/>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r>
        <w:rPr>
          <w:rFonts w:hint="eastAsia" w:ascii="宋体" w:hAnsi="宋体" w:cs="宋体"/>
          <w:sz w:val="24"/>
          <w:szCs w:val="24"/>
          <w:vertAlign w:val="baseline"/>
          <w:lang w:val="en-US" w:eastAsia="zh-CN"/>
        </w:rPr>
        <w:t>；</w:t>
      </w:r>
    </w:p>
  </w:footnote>
  <w:footnote w:id="6">
    <w:p w14:paraId="242DB6F1">
      <w:pPr>
        <w:pStyle w:val="8"/>
        <w:snapToGrid w:val="0"/>
        <w:rPr>
          <w:rStyle w:val="16"/>
          <w:rFonts w:hint="eastAsia" w:ascii="宋体" w:hAnsi="宋体" w:eastAsia="宋体" w:cs="宋体"/>
          <w:sz w:val="24"/>
          <w:szCs w:val="24"/>
          <w:vertAlign w:val="baseline"/>
          <w:lang w:val="en-US" w:eastAsia="zh-CN"/>
        </w:rPr>
      </w:pPr>
      <w:r>
        <w:rPr>
          <w:rStyle w:val="16"/>
          <w:rFonts w:hint="eastAsia" w:ascii="宋体" w:hAnsi="宋体" w:eastAsia="宋体" w:cs="宋体"/>
          <w:sz w:val="24"/>
          <w:szCs w:val="24"/>
          <w:vertAlign w:val="baseline"/>
          <w:lang w:val="en-US" w:eastAsia="zh-CN"/>
        </w:rPr>
        <w:t>[</w:t>
      </w:r>
      <w:r>
        <w:rPr>
          <w:rStyle w:val="16"/>
          <w:rFonts w:hint="eastAsia" w:ascii="宋体" w:hAnsi="宋体" w:eastAsia="宋体" w:cs="宋体"/>
          <w:sz w:val="24"/>
          <w:szCs w:val="24"/>
          <w:vertAlign w:val="baseline"/>
          <w:lang w:val="en-US" w:eastAsia="zh-CN"/>
        </w:rPr>
        <w:footnoteRef/>
      </w:r>
      <w:r>
        <w:rPr>
          <w:rStyle w:val="16"/>
          <w:rFonts w:hint="eastAsia" w:ascii="宋体" w:hAnsi="宋体" w:eastAsia="宋体" w:cs="宋体"/>
          <w:sz w:val="24"/>
          <w:szCs w:val="24"/>
          <w:vertAlign w:val="baseline"/>
          <w:lang w:val="en-US" w:eastAsia="zh-CN"/>
        </w:rPr>
        <w:t>]《中华人民共和国安全生产法》第一百一十四条</w:t>
      </w:r>
      <w:r>
        <w:rPr>
          <w:rFonts w:hint="eastAsia" w:ascii="宋体" w:hAnsi="宋体" w:cs="宋体"/>
          <w:sz w:val="24"/>
          <w:szCs w:val="24"/>
          <w:vertAlign w:val="baseline"/>
          <w:lang w:val="en-US" w:eastAsia="zh-CN"/>
        </w:rPr>
        <w:t xml:space="preserve"> </w:t>
      </w:r>
      <w:r>
        <w:rPr>
          <w:rStyle w:val="16"/>
          <w:rFonts w:hint="eastAsia" w:ascii="宋体" w:hAnsi="宋体" w:eastAsia="宋体" w:cs="宋体"/>
          <w:sz w:val="24"/>
          <w:szCs w:val="24"/>
          <w:vertAlign w:val="baseline"/>
          <w:lang w:val="en-US" w:eastAsia="zh-CN"/>
        </w:rPr>
        <w:t>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14A11">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D17B17"/>
    <w:multiLevelType w:val="singleLevel"/>
    <w:tmpl w:val="9AD17B1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14"/>
    <w:footnote w:id="15"/>
  </w:footnotePr>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282"/>
    <w:rsid w:val="00003642"/>
    <w:rsid w:val="00005766"/>
    <w:rsid w:val="00006278"/>
    <w:rsid w:val="00006CCC"/>
    <w:rsid w:val="000142FC"/>
    <w:rsid w:val="000150D8"/>
    <w:rsid w:val="000169B4"/>
    <w:rsid w:val="00017DB1"/>
    <w:rsid w:val="000210C0"/>
    <w:rsid w:val="00021FE6"/>
    <w:rsid w:val="00024161"/>
    <w:rsid w:val="00025DEC"/>
    <w:rsid w:val="00027C62"/>
    <w:rsid w:val="00034E82"/>
    <w:rsid w:val="0004007D"/>
    <w:rsid w:val="0004198E"/>
    <w:rsid w:val="00042177"/>
    <w:rsid w:val="00042D74"/>
    <w:rsid w:val="00043EC7"/>
    <w:rsid w:val="00044129"/>
    <w:rsid w:val="0004423B"/>
    <w:rsid w:val="000445A7"/>
    <w:rsid w:val="00050E56"/>
    <w:rsid w:val="00054170"/>
    <w:rsid w:val="0005536C"/>
    <w:rsid w:val="00057124"/>
    <w:rsid w:val="00060F70"/>
    <w:rsid w:val="00063548"/>
    <w:rsid w:val="0006761F"/>
    <w:rsid w:val="00071BAC"/>
    <w:rsid w:val="00071FEA"/>
    <w:rsid w:val="00072DC9"/>
    <w:rsid w:val="000827F3"/>
    <w:rsid w:val="00093337"/>
    <w:rsid w:val="00095E6D"/>
    <w:rsid w:val="000966E1"/>
    <w:rsid w:val="00096C76"/>
    <w:rsid w:val="00096E3B"/>
    <w:rsid w:val="000A7286"/>
    <w:rsid w:val="000A72ED"/>
    <w:rsid w:val="000A76A7"/>
    <w:rsid w:val="000B3B78"/>
    <w:rsid w:val="000B540F"/>
    <w:rsid w:val="000C04C2"/>
    <w:rsid w:val="000C47A6"/>
    <w:rsid w:val="000C7330"/>
    <w:rsid w:val="000D518B"/>
    <w:rsid w:val="000D5771"/>
    <w:rsid w:val="000E1DE7"/>
    <w:rsid w:val="000E232F"/>
    <w:rsid w:val="000E4B08"/>
    <w:rsid w:val="000F4861"/>
    <w:rsid w:val="000F51CC"/>
    <w:rsid w:val="000F5D41"/>
    <w:rsid w:val="000F5D94"/>
    <w:rsid w:val="0010068D"/>
    <w:rsid w:val="001020B6"/>
    <w:rsid w:val="00102B00"/>
    <w:rsid w:val="00102B2B"/>
    <w:rsid w:val="00103E5F"/>
    <w:rsid w:val="00112BA3"/>
    <w:rsid w:val="0011352D"/>
    <w:rsid w:val="00113F2C"/>
    <w:rsid w:val="001174B4"/>
    <w:rsid w:val="001217CF"/>
    <w:rsid w:val="00121ACB"/>
    <w:rsid w:val="00130492"/>
    <w:rsid w:val="00132AE2"/>
    <w:rsid w:val="0013328F"/>
    <w:rsid w:val="00134149"/>
    <w:rsid w:val="001343FD"/>
    <w:rsid w:val="00137AB4"/>
    <w:rsid w:val="0014471E"/>
    <w:rsid w:val="00145FA0"/>
    <w:rsid w:val="00146AFC"/>
    <w:rsid w:val="001474AC"/>
    <w:rsid w:val="00147CC3"/>
    <w:rsid w:val="001508C6"/>
    <w:rsid w:val="0015203E"/>
    <w:rsid w:val="00154A00"/>
    <w:rsid w:val="00155515"/>
    <w:rsid w:val="00156CCD"/>
    <w:rsid w:val="00162C0C"/>
    <w:rsid w:val="0016489A"/>
    <w:rsid w:val="001660F8"/>
    <w:rsid w:val="001662C6"/>
    <w:rsid w:val="001669B0"/>
    <w:rsid w:val="00167F1F"/>
    <w:rsid w:val="00167FD9"/>
    <w:rsid w:val="001707E1"/>
    <w:rsid w:val="00171C10"/>
    <w:rsid w:val="0017343B"/>
    <w:rsid w:val="00175D65"/>
    <w:rsid w:val="00175F23"/>
    <w:rsid w:val="00176050"/>
    <w:rsid w:val="00182B09"/>
    <w:rsid w:val="00183F9C"/>
    <w:rsid w:val="00184C95"/>
    <w:rsid w:val="00187464"/>
    <w:rsid w:val="00193699"/>
    <w:rsid w:val="00195568"/>
    <w:rsid w:val="00196870"/>
    <w:rsid w:val="001A0F3B"/>
    <w:rsid w:val="001A52FF"/>
    <w:rsid w:val="001A73CC"/>
    <w:rsid w:val="001B0BF0"/>
    <w:rsid w:val="001B18ED"/>
    <w:rsid w:val="001B416E"/>
    <w:rsid w:val="001B5282"/>
    <w:rsid w:val="001C2818"/>
    <w:rsid w:val="001C4199"/>
    <w:rsid w:val="001D1736"/>
    <w:rsid w:val="001D39CA"/>
    <w:rsid w:val="001D42A3"/>
    <w:rsid w:val="001D48A0"/>
    <w:rsid w:val="001D69DF"/>
    <w:rsid w:val="001E2BC0"/>
    <w:rsid w:val="001E426F"/>
    <w:rsid w:val="001E7E4A"/>
    <w:rsid w:val="001F1837"/>
    <w:rsid w:val="001F2714"/>
    <w:rsid w:val="001F4B64"/>
    <w:rsid w:val="001F4E30"/>
    <w:rsid w:val="001F54E0"/>
    <w:rsid w:val="002007AC"/>
    <w:rsid w:val="00203209"/>
    <w:rsid w:val="00204B9B"/>
    <w:rsid w:val="0020631E"/>
    <w:rsid w:val="0021043C"/>
    <w:rsid w:val="00212851"/>
    <w:rsid w:val="0021456D"/>
    <w:rsid w:val="00217460"/>
    <w:rsid w:val="00221456"/>
    <w:rsid w:val="00222880"/>
    <w:rsid w:val="00226B9C"/>
    <w:rsid w:val="00227C00"/>
    <w:rsid w:val="0023120B"/>
    <w:rsid w:val="0023238C"/>
    <w:rsid w:val="0023343D"/>
    <w:rsid w:val="00234CFF"/>
    <w:rsid w:val="00237173"/>
    <w:rsid w:val="0024087B"/>
    <w:rsid w:val="0024654D"/>
    <w:rsid w:val="00246967"/>
    <w:rsid w:val="0025138B"/>
    <w:rsid w:val="00251C09"/>
    <w:rsid w:val="002529C6"/>
    <w:rsid w:val="00253004"/>
    <w:rsid w:val="0025328D"/>
    <w:rsid w:val="00254A94"/>
    <w:rsid w:val="00254BF6"/>
    <w:rsid w:val="002607AB"/>
    <w:rsid w:val="00261253"/>
    <w:rsid w:val="00261A00"/>
    <w:rsid w:val="00266DEF"/>
    <w:rsid w:val="002672B4"/>
    <w:rsid w:val="00270D68"/>
    <w:rsid w:val="0027240E"/>
    <w:rsid w:val="00272A8F"/>
    <w:rsid w:val="0027307A"/>
    <w:rsid w:val="00273AA6"/>
    <w:rsid w:val="002802A6"/>
    <w:rsid w:val="00281710"/>
    <w:rsid w:val="00282815"/>
    <w:rsid w:val="00285847"/>
    <w:rsid w:val="00287977"/>
    <w:rsid w:val="00287A4C"/>
    <w:rsid w:val="00293078"/>
    <w:rsid w:val="00294B06"/>
    <w:rsid w:val="00294D1B"/>
    <w:rsid w:val="002A2555"/>
    <w:rsid w:val="002A2731"/>
    <w:rsid w:val="002A3B1E"/>
    <w:rsid w:val="002A45C8"/>
    <w:rsid w:val="002A46F3"/>
    <w:rsid w:val="002A5095"/>
    <w:rsid w:val="002B3F22"/>
    <w:rsid w:val="002B6641"/>
    <w:rsid w:val="002C340E"/>
    <w:rsid w:val="002C551C"/>
    <w:rsid w:val="002C6E47"/>
    <w:rsid w:val="002D21BD"/>
    <w:rsid w:val="002E0449"/>
    <w:rsid w:val="002E17BF"/>
    <w:rsid w:val="002E1E35"/>
    <w:rsid w:val="002E3C3F"/>
    <w:rsid w:val="002E5A6C"/>
    <w:rsid w:val="002E6A88"/>
    <w:rsid w:val="002F0611"/>
    <w:rsid w:val="002F1BA9"/>
    <w:rsid w:val="002F3376"/>
    <w:rsid w:val="002F370D"/>
    <w:rsid w:val="002F3ED9"/>
    <w:rsid w:val="00305906"/>
    <w:rsid w:val="003062F7"/>
    <w:rsid w:val="00313B44"/>
    <w:rsid w:val="00314347"/>
    <w:rsid w:val="00315E23"/>
    <w:rsid w:val="0031720F"/>
    <w:rsid w:val="0031789C"/>
    <w:rsid w:val="00321E46"/>
    <w:rsid w:val="00321FE0"/>
    <w:rsid w:val="003239EB"/>
    <w:rsid w:val="00325BF5"/>
    <w:rsid w:val="003273B4"/>
    <w:rsid w:val="0033030F"/>
    <w:rsid w:val="00334651"/>
    <w:rsid w:val="00334F28"/>
    <w:rsid w:val="00337135"/>
    <w:rsid w:val="003402C3"/>
    <w:rsid w:val="00340AE4"/>
    <w:rsid w:val="00340E15"/>
    <w:rsid w:val="00340FA0"/>
    <w:rsid w:val="003441A0"/>
    <w:rsid w:val="0034478C"/>
    <w:rsid w:val="00344BA5"/>
    <w:rsid w:val="00346609"/>
    <w:rsid w:val="003476F8"/>
    <w:rsid w:val="00353DE7"/>
    <w:rsid w:val="003566DF"/>
    <w:rsid w:val="0036045D"/>
    <w:rsid w:val="00361E21"/>
    <w:rsid w:val="00364FC2"/>
    <w:rsid w:val="003672C3"/>
    <w:rsid w:val="003672C5"/>
    <w:rsid w:val="003714DC"/>
    <w:rsid w:val="00373054"/>
    <w:rsid w:val="0037745F"/>
    <w:rsid w:val="00377CC3"/>
    <w:rsid w:val="00380647"/>
    <w:rsid w:val="00380CD1"/>
    <w:rsid w:val="003841B1"/>
    <w:rsid w:val="00390531"/>
    <w:rsid w:val="003921EC"/>
    <w:rsid w:val="003932F4"/>
    <w:rsid w:val="00394F75"/>
    <w:rsid w:val="00396ABC"/>
    <w:rsid w:val="003A1ED5"/>
    <w:rsid w:val="003A292D"/>
    <w:rsid w:val="003A5405"/>
    <w:rsid w:val="003A5455"/>
    <w:rsid w:val="003A61EE"/>
    <w:rsid w:val="003B0050"/>
    <w:rsid w:val="003B03C3"/>
    <w:rsid w:val="003B0D67"/>
    <w:rsid w:val="003B4C7E"/>
    <w:rsid w:val="003C18A1"/>
    <w:rsid w:val="003C3F8C"/>
    <w:rsid w:val="003C7184"/>
    <w:rsid w:val="003C7830"/>
    <w:rsid w:val="003C7AF2"/>
    <w:rsid w:val="003C7C54"/>
    <w:rsid w:val="003D2BAC"/>
    <w:rsid w:val="003D39CE"/>
    <w:rsid w:val="003D3C6A"/>
    <w:rsid w:val="003D5C80"/>
    <w:rsid w:val="003F1374"/>
    <w:rsid w:val="00400740"/>
    <w:rsid w:val="004017F4"/>
    <w:rsid w:val="004038E2"/>
    <w:rsid w:val="00405401"/>
    <w:rsid w:val="00410CB8"/>
    <w:rsid w:val="00414DC3"/>
    <w:rsid w:val="00415C82"/>
    <w:rsid w:val="00416B1F"/>
    <w:rsid w:val="0042294E"/>
    <w:rsid w:val="004258CE"/>
    <w:rsid w:val="00431369"/>
    <w:rsid w:val="00432A3E"/>
    <w:rsid w:val="00432C36"/>
    <w:rsid w:val="00432E68"/>
    <w:rsid w:val="00437A0F"/>
    <w:rsid w:val="004429C4"/>
    <w:rsid w:val="00443039"/>
    <w:rsid w:val="004464B3"/>
    <w:rsid w:val="00446714"/>
    <w:rsid w:val="0045219A"/>
    <w:rsid w:val="00453DF0"/>
    <w:rsid w:val="00453E03"/>
    <w:rsid w:val="00454BA6"/>
    <w:rsid w:val="00461478"/>
    <w:rsid w:val="004621D7"/>
    <w:rsid w:val="00464004"/>
    <w:rsid w:val="0046556D"/>
    <w:rsid w:val="00465A31"/>
    <w:rsid w:val="00465AE7"/>
    <w:rsid w:val="0047192E"/>
    <w:rsid w:val="00473F72"/>
    <w:rsid w:val="00474D7B"/>
    <w:rsid w:val="00480DF7"/>
    <w:rsid w:val="00482BF9"/>
    <w:rsid w:val="0048725F"/>
    <w:rsid w:val="00492AF3"/>
    <w:rsid w:val="004A084F"/>
    <w:rsid w:val="004A21B7"/>
    <w:rsid w:val="004A4428"/>
    <w:rsid w:val="004A6748"/>
    <w:rsid w:val="004B03A4"/>
    <w:rsid w:val="004B13C1"/>
    <w:rsid w:val="004B2085"/>
    <w:rsid w:val="004B5F71"/>
    <w:rsid w:val="004B6802"/>
    <w:rsid w:val="004B690F"/>
    <w:rsid w:val="004B7833"/>
    <w:rsid w:val="004C18BB"/>
    <w:rsid w:val="004C2519"/>
    <w:rsid w:val="004C4E0C"/>
    <w:rsid w:val="004C53B7"/>
    <w:rsid w:val="004C5873"/>
    <w:rsid w:val="004D23EF"/>
    <w:rsid w:val="004D3F53"/>
    <w:rsid w:val="004E0A84"/>
    <w:rsid w:val="004E26A4"/>
    <w:rsid w:val="004E317C"/>
    <w:rsid w:val="004E4185"/>
    <w:rsid w:val="004F3375"/>
    <w:rsid w:val="004F47B4"/>
    <w:rsid w:val="004F4B96"/>
    <w:rsid w:val="005022CE"/>
    <w:rsid w:val="00503547"/>
    <w:rsid w:val="0051727A"/>
    <w:rsid w:val="0052163C"/>
    <w:rsid w:val="00521DA9"/>
    <w:rsid w:val="00523533"/>
    <w:rsid w:val="00530E5C"/>
    <w:rsid w:val="00546CF3"/>
    <w:rsid w:val="00550A7E"/>
    <w:rsid w:val="005625B6"/>
    <w:rsid w:val="00565820"/>
    <w:rsid w:val="0056618B"/>
    <w:rsid w:val="00572B64"/>
    <w:rsid w:val="0057465E"/>
    <w:rsid w:val="00576597"/>
    <w:rsid w:val="00576C9B"/>
    <w:rsid w:val="00577264"/>
    <w:rsid w:val="00577874"/>
    <w:rsid w:val="005811EF"/>
    <w:rsid w:val="00582837"/>
    <w:rsid w:val="00584220"/>
    <w:rsid w:val="00586B3A"/>
    <w:rsid w:val="00587643"/>
    <w:rsid w:val="00590B27"/>
    <w:rsid w:val="00591132"/>
    <w:rsid w:val="00592070"/>
    <w:rsid w:val="00594428"/>
    <w:rsid w:val="005977D9"/>
    <w:rsid w:val="005A037F"/>
    <w:rsid w:val="005A164C"/>
    <w:rsid w:val="005A2E41"/>
    <w:rsid w:val="005A4C7E"/>
    <w:rsid w:val="005A7C61"/>
    <w:rsid w:val="005B0C8C"/>
    <w:rsid w:val="005B0CED"/>
    <w:rsid w:val="005B2B6B"/>
    <w:rsid w:val="005B5E98"/>
    <w:rsid w:val="005B7CF4"/>
    <w:rsid w:val="005C01F6"/>
    <w:rsid w:val="005C09F1"/>
    <w:rsid w:val="005C0D6E"/>
    <w:rsid w:val="005C4CE6"/>
    <w:rsid w:val="005C5823"/>
    <w:rsid w:val="005C5A07"/>
    <w:rsid w:val="005C6052"/>
    <w:rsid w:val="005D140C"/>
    <w:rsid w:val="005D56BA"/>
    <w:rsid w:val="005D5E11"/>
    <w:rsid w:val="005E2833"/>
    <w:rsid w:val="005E2AF5"/>
    <w:rsid w:val="005E2CE9"/>
    <w:rsid w:val="005E4776"/>
    <w:rsid w:val="005F337B"/>
    <w:rsid w:val="005F38FF"/>
    <w:rsid w:val="005F4C1C"/>
    <w:rsid w:val="005F578F"/>
    <w:rsid w:val="00601286"/>
    <w:rsid w:val="006057DD"/>
    <w:rsid w:val="006079BC"/>
    <w:rsid w:val="0061058E"/>
    <w:rsid w:val="006107DF"/>
    <w:rsid w:val="006110E4"/>
    <w:rsid w:val="00612DA9"/>
    <w:rsid w:val="00615271"/>
    <w:rsid w:val="00621206"/>
    <w:rsid w:val="006247D4"/>
    <w:rsid w:val="00625EDF"/>
    <w:rsid w:val="00626429"/>
    <w:rsid w:val="00630B96"/>
    <w:rsid w:val="00632371"/>
    <w:rsid w:val="00635315"/>
    <w:rsid w:val="0063654B"/>
    <w:rsid w:val="00636FC8"/>
    <w:rsid w:val="00640825"/>
    <w:rsid w:val="00640D60"/>
    <w:rsid w:val="0064283F"/>
    <w:rsid w:val="00643F2E"/>
    <w:rsid w:val="00651032"/>
    <w:rsid w:val="00653403"/>
    <w:rsid w:val="00653FB9"/>
    <w:rsid w:val="00654D69"/>
    <w:rsid w:val="00655487"/>
    <w:rsid w:val="00656831"/>
    <w:rsid w:val="00660E6E"/>
    <w:rsid w:val="00661241"/>
    <w:rsid w:val="006632A1"/>
    <w:rsid w:val="006635F8"/>
    <w:rsid w:val="006656C5"/>
    <w:rsid w:val="0066615D"/>
    <w:rsid w:val="0067011A"/>
    <w:rsid w:val="006734DF"/>
    <w:rsid w:val="006768BE"/>
    <w:rsid w:val="00682006"/>
    <w:rsid w:val="00682C15"/>
    <w:rsid w:val="00682D53"/>
    <w:rsid w:val="00683118"/>
    <w:rsid w:val="00684A5E"/>
    <w:rsid w:val="00686393"/>
    <w:rsid w:val="006936B2"/>
    <w:rsid w:val="00697952"/>
    <w:rsid w:val="006A1400"/>
    <w:rsid w:val="006A2CE5"/>
    <w:rsid w:val="006A44F1"/>
    <w:rsid w:val="006A57C0"/>
    <w:rsid w:val="006B11FE"/>
    <w:rsid w:val="006C1255"/>
    <w:rsid w:val="006C275D"/>
    <w:rsid w:val="006C3959"/>
    <w:rsid w:val="006C5F55"/>
    <w:rsid w:val="006D2AB3"/>
    <w:rsid w:val="006D5B78"/>
    <w:rsid w:val="006D73D4"/>
    <w:rsid w:val="006E00E6"/>
    <w:rsid w:val="006E0CFA"/>
    <w:rsid w:val="006E4E0E"/>
    <w:rsid w:val="006E5378"/>
    <w:rsid w:val="006E7D52"/>
    <w:rsid w:val="006E7F33"/>
    <w:rsid w:val="006F04D1"/>
    <w:rsid w:val="006F1C3C"/>
    <w:rsid w:val="006F2154"/>
    <w:rsid w:val="006F2300"/>
    <w:rsid w:val="006F2B83"/>
    <w:rsid w:val="006F58AD"/>
    <w:rsid w:val="007031CC"/>
    <w:rsid w:val="00704D70"/>
    <w:rsid w:val="007059A8"/>
    <w:rsid w:val="00705F05"/>
    <w:rsid w:val="0072150E"/>
    <w:rsid w:val="00722AC0"/>
    <w:rsid w:val="00722DE0"/>
    <w:rsid w:val="0072498D"/>
    <w:rsid w:val="007250B4"/>
    <w:rsid w:val="00726A46"/>
    <w:rsid w:val="00726E25"/>
    <w:rsid w:val="007358C9"/>
    <w:rsid w:val="00735FCD"/>
    <w:rsid w:val="0073688C"/>
    <w:rsid w:val="007414F8"/>
    <w:rsid w:val="007430B7"/>
    <w:rsid w:val="00747C32"/>
    <w:rsid w:val="00750FB3"/>
    <w:rsid w:val="00753C26"/>
    <w:rsid w:val="007540B4"/>
    <w:rsid w:val="00755575"/>
    <w:rsid w:val="00757B09"/>
    <w:rsid w:val="0076077D"/>
    <w:rsid w:val="007658D8"/>
    <w:rsid w:val="00766484"/>
    <w:rsid w:val="00767FEF"/>
    <w:rsid w:val="00770076"/>
    <w:rsid w:val="007770AB"/>
    <w:rsid w:val="007776F4"/>
    <w:rsid w:val="00780792"/>
    <w:rsid w:val="00781884"/>
    <w:rsid w:val="00781C26"/>
    <w:rsid w:val="00782772"/>
    <w:rsid w:val="00785885"/>
    <w:rsid w:val="00787408"/>
    <w:rsid w:val="00792579"/>
    <w:rsid w:val="00792D86"/>
    <w:rsid w:val="00794EF3"/>
    <w:rsid w:val="007A04FE"/>
    <w:rsid w:val="007A272D"/>
    <w:rsid w:val="007A3BEE"/>
    <w:rsid w:val="007A6E80"/>
    <w:rsid w:val="007B15E9"/>
    <w:rsid w:val="007B6EBE"/>
    <w:rsid w:val="007C54EE"/>
    <w:rsid w:val="007C5F46"/>
    <w:rsid w:val="007C7ABA"/>
    <w:rsid w:val="007C7DF3"/>
    <w:rsid w:val="007D4B06"/>
    <w:rsid w:val="007D5318"/>
    <w:rsid w:val="007D59C8"/>
    <w:rsid w:val="007D6A7E"/>
    <w:rsid w:val="007D6BD9"/>
    <w:rsid w:val="007D7E4C"/>
    <w:rsid w:val="007E019F"/>
    <w:rsid w:val="007E1CE0"/>
    <w:rsid w:val="007E2F4D"/>
    <w:rsid w:val="007E6B6F"/>
    <w:rsid w:val="007E6C83"/>
    <w:rsid w:val="007E7482"/>
    <w:rsid w:val="007F2DB4"/>
    <w:rsid w:val="00801F70"/>
    <w:rsid w:val="008037A5"/>
    <w:rsid w:val="00804008"/>
    <w:rsid w:val="00804899"/>
    <w:rsid w:val="008052CC"/>
    <w:rsid w:val="00805985"/>
    <w:rsid w:val="00807088"/>
    <w:rsid w:val="00807D68"/>
    <w:rsid w:val="00807EB0"/>
    <w:rsid w:val="00811B5C"/>
    <w:rsid w:val="008137F4"/>
    <w:rsid w:val="00813C19"/>
    <w:rsid w:val="008242A6"/>
    <w:rsid w:val="00826038"/>
    <w:rsid w:val="00827137"/>
    <w:rsid w:val="008278B8"/>
    <w:rsid w:val="00831FD4"/>
    <w:rsid w:val="00832330"/>
    <w:rsid w:val="008327C7"/>
    <w:rsid w:val="00833EF2"/>
    <w:rsid w:val="0084417D"/>
    <w:rsid w:val="00844C12"/>
    <w:rsid w:val="00847F5D"/>
    <w:rsid w:val="0085112B"/>
    <w:rsid w:val="00852CD1"/>
    <w:rsid w:val="0085341C"/>
    <w:rsid w:val="0085512F"/>
    <w:rsid w:val="0085669F"/>
    <w:rsid w:val="00860030"/>
    <w:rsid w:val="00860680"/>
    <w:rsid w:val="00861019"/>
    <w:rsid w:val="00861EB0"/>
    <w:rsid w:val="00863AC7"/>
    <w:rsid w:val="00865C25"/>
    <w:rsid w:val="00871F06"/>
    <w:rsid w:val="008865BE"/>
    <w:rsid w:val="008A34D2"/>
    <w:rsid w:val="008A38F6"/>
    <w:rsid w:val="008A5022"/>
    <w:rsid w:val="008A54E7"/>
    <w:rsid w:val="008A6428"/>
    <w:rsid w:val="008A6C0E"/>
    <w:rsid w:val="008B4EB8"/>
    <w:rsid w:val="008B53B8"/>
    <w:rsid w:val="008B54BA"/>
    <w:rsid w:val="008B5D2E"/>
    <w:rsid w:val="008C1902"/>
    <w:rsid w:val="008C3AB5"/>
    <w:rsid w:val="008C4014"/>
    <w:rsid w:val="008C43F1"/>
    <w:rsid w:val="008C4756"/>
    <w:rsid w:val="008C5A03"/>
    <w:rsid w:val="008C7A06"/>
    <w:rsid w:val="008D6C3C"/>
    <w:rsid w:val="008D7192"/>
    <w:rsid w:val="008E38A8"/>
    <w:rsid w:val="008E3B10"/>
    <w:rsid w:val="008E42ED"/>
    <w:rsid w:val="008E7103"/>
    <w:rsid w:val="008F13B2"/>
    <w:rsid w:val="008F2283"/>
    <w:rsid w:val="008F2730"/>
    <w:rsid w:val="00910A1C"/>
    <w:rsid w:val="00910F8C"/>
    <w:rsid w:val="00914B6A"/>
    <w:rsid w:val="009152EE"/>
    <w:rsid w:val="00915518"/>
    <w:rsid w:val="009178EF"/>
    <w:rsid w:val="0092382C"/>
    <w:rsid w:val="00933905"/>
    <w:rsid w:val="00933A68"/>
    <w:rsid w:val="009347CF"/>
    <w:rsid w:val="00937D55"/>
    <w:rsid w:val="009423E7"/>
    <w:rsid w:val="00942847"/>
    <w:rsid w:val="0094347D"/>
    <w:rsid w:val="00944486"/>
    <w:rsid w:val="00945650"/>
    <w:rsid w:val="00954729"/>
    <w:rsid w:val="00956218"/>
    <w:rsid w:val="009563A6"/>
    <w:rsid w:val="0096037E"/>
    <w:rsid w:val="00970B7F"/>
    <w:rsid w:val="00972A49"/>
    <w:rsid w:val="00973915"/>
    <w:rsid w:val="009833FB"/>
    <w:rsid w:val="00984E41"/>
    <w:rsid w:val="00985F7B"/>
    <w:rsid w:val="0098690B"/>
    <w:rsid w:val="00991E2C"/>
    <w:rsid w:val="009920ED"/>
    <w:rsid w:val="00992A48"/>
    <w:rsid w:val="0099687A"/>
    <w:rsid w:val="009968E3"/>
    <w:rsid w:val="009A376B"/>
    <w:rsid w:val="009A6180"/>
    <w:rsid w:val="009A6EA1"/>
    <w:rsid w:val="009B0A0C"/>
    <w:rsid w:val="009C5A18"/>
    <w:rsid w:val="009C7165"/>
    <w:rsid w:val="009D0875"/>
    <w:rsid w:val="009D1102"/>
    <w:rsid w:val="009D1B9A"/>
    <w:rsid w:val="009D3172"/>
    <w:rsid w:val="009D4E59"/>
    <w:rsid w:val="009D5CED"/>
    <w:rsid w:val="009D7C02"/>
    <w:rsid w:val="009E0AA5"/>
    <w:rsid w:val="009E6F9B"/>
    <w:rsid w:val="009F1E9B"/>
    <w:rsid w:val="009F2B6A"/>
    <w:rsid w:val="009F4043"/>
    <w:rsid w:val="009F4265"/>
    <w:rsid w:val="009F4E28"/>
    <w:rsid w:val="009F6749"/>
    <w:rsid w:val="00A0230E"/>
    <w:rsid w:val="00A023E5"/>
    <w:rsid w:val="00A0283D"/>
    <w:rsid w:val="00A02AA5"/>
    <w:rsid w:val="00A1150B"/>
    <w:rsid w:val="00A12522"/>
    <w:rsid w:val="00A139F6"/>
    <w:rsid w:val="00A1515C"/>
    <w:rsid w:val="00A20367"/>
    <w:rsid w:val="00A3279E"/>
    <w:rsid w:val="00A33B7D"/>
    <w:rsid w:val="00A3765C"/>
    <w:rsid w:val="00A41F92"/>
    <w:rsid w:val="00A43F85"/>
    <w:rsid w:val="00A45E5D"/>
    <w:rsid w:val="00A50CC1"/>
    <w:rsid w:val="00A51CF3"/>
    <w:rsid w:val="00A53836"/>
    <w:rsid w:val="00A55884"/>
    <w:rsid w:val="00A563FE"/>
    <w:rsid w:val="00A5743D"/>
    <w:rsid w:val="00A57DC9"/>
    <w:rsid w:val="00A60D49"/>
    <w:rsid w:val="00A62BB9"/>
    <w:rsid w:val="00A63733"/>
    <w:rsid w:val="00A6446D"/>
    <w:rsid w:val="00A6799C"/>
    <w:rsid w:val="00A67E4A"/>
    <w:rsid w:val="00A70576"/>
    <w:rsid w:val="00A717DD"/>
    <w:rsid w:val="00A8419C"/>
    <w:rsid w:val="00A85654"/>
    <w:rsid w:val="00A86935"/>
    <w:rsid w:val="00A919E5"/>
    <w:rsid w:val="00A947BC"/>
    <w:rsid w:val="00A94E5B"/>
    <w:rsid w:val="00A97AE4"/>
    <w:rsid w:val="00AA2EDC"/>
    <w:rsid w:val="00AA608A"/>
    <w:rsid w:val="00AA7A52"/>
    <w:rsid w:val="00AB01A2"/>
    <w:rsid w:val="00AB36C5"/>
    <w:rsid w:val="00AB4612"/>
    <w:rsid w:val="00AB51FA"/>
    <w:rsid w:val="00AB67E0"/>
    <w:rsid w:val="00AC4859"/>
    <w:rsid w:val="00AC57D5"/>
    <w:rsid w:val="00AC6AFE"/>
    <w:rsid w:val="00AC70B0"/>
    <w:rsid w:val="00AD0066"/>
    <w:rsid w:val="00AD2AA3"/>
    <w:rsid w:val="00AD359A"/>
    <w:rsid w:val="00AD3DB3"/>
    <w:rsid w:val="00AD5525"/>
    <w:rsid w:val="00AE05E8"/>
    <w:rsid w:val="00AE4AD8"/>
    <w:rsid w:val="00AE5E4C"/>
    <w:rsid w:val="00AE7044"/>
    <w:rsid w:val="00AE79B0"/>
    <w:rsid w:val="00B02913"/>
    <w:rsid w:val="00B0310B"/>
    <w:rsid w:val="00B04BB2"/>
    <w:rsid w:val="00B0758D"/>
    <w:rsid w:val="00B10E25"/>
    <w:rsid w:val="00B20AF0"/>
    <w:rsid w:val="00B2356F"/>
    <w:rsid w:val="00B313ED"/>
    <w:rsid w:val="00B31C14"/>
    <w:rsid w:val="00B32F13"/>
    <w:rsid w:val="00B3557B"/>
    <w:rsid w:val="00B356F1"/>
    <w:rsid w:val="00B40D3C"/>
    <w:rsid w:val="00B41AC8"/>
    <w:rsid w:val="00B538E4"/>
    <w:rsid w:val="00B576D2"/>
    <w:rsid w:val="00B62103"/>
    <w:rsid w:val="00B62AC2"/>
    <w:rsid w:val="00B63632"/>
    <w:rsid w:val="00B63DEC"/>
    <w:rsid w:val="00B664E5"/>
    <w:rsid w:val="00B709E5"/>
    <w:rsid w:val="00B714B4"/>
    <w:rsid w:val="00B725F0"/>
    <w:rsid w:val="00B754DD"/>
    <w:rsid w:val="00B75923"/>
    <w:rsid w:val="00B8352A"/>
    <w:rsid w:val="00B83BC0"/>
    <w:rsid w:val="00B85CF0"/>
    <w:rsid w:val="00B8680D"/>
    <w:rsid w:val="00B95DDA"/>
    <w:rsid w:val="00BA4C4F"/>
    <w:rsid w:val="00BB0E31"/>
    <w:rsid w:val="00BB0EDE"/>
    <w:rsid w:val="00BB534B"/>
    <w:rsid w:val="00BC11A7"/>
    <w:rsid w:val="00BC2B56"/>
    <w:rsid w:val="00BC4D42"/>
    <w:rsid w:val="00BD03A2"/>
    <w:rsid w:val="00BD12AC"/>
    <w:rsid w:val="00BD3F94"/>
    <w:rsid w:val="00BD5104"/>
    <w:rsid w:val="00BE1FE4"/>
    <w:rsid w:val="00BF0F06"/>
    <w:rsid w:val="00BF1355"/>
    <w:rsid w:val="00BF71C3"/>
    <w:rsid w:val="00BF76D4"/>
    <w:rsid w:val="00C009B4"/>
    <w:rsid w:val="00C02BC6"/>
    <w:rsid w:val="00C05719"/>
    <w:rsid w:val="00C06880"/>
    <w:rsid w:val="00C11A8D"/>
    <w:rsid w:val="00C131FE"/>
    <w:rsid w:val="00C22DA0"/>
    <w:rsid w:val="00C30FB9"/>
    <w:rsid w:val="00C342DA"/>
    <w:rsid w:val="00C35453"/>
    <w:rsid w:val="00C37B3C"/>
    <w:rsid w:val="00C406FB"/>
    <w:rsid w:val="00C431EE"/>
    <w:rsid w:val="00C43398"/>
    <w:rsid w:val="00C43F79"/>
    <w:rsid w:val="00C44BA3"/>
    <w:rsid w:val="00C5278F"/>
    <w:rsid w:val="00C53865"/>
    <w:rsid w:val="00C55698"/>
    <w:rsid w:val="00C56448"/>
    <w:rsid w:val="00C604ED"/>
    <w:rsid w:val="00C6200F"/>
    <w:rsid w:val="00C661C2"/>
    <w:rsid w:val="00C71A53"/>
    <w:rsid w:val="00C72328"/>
    <w:rsid w:val="00C80A2C"/>
    <w:rsid w:val="00C81485"/>
    <w:rsid w:val="00C83004"/>
    <w:rsid w:val="00C906A2"/>
    <w:rsid w:val="00C92F0D"/>
    <w:rsid w:val="00C97095"/>
    <w:rsid w:val="00CA1D92"/>
    <w:rsid w:val="00CA6E07"/>
    <w:rsid w:val="00CB611A"/>
    <w:rsid w:val="00CB648B"/>
    <w:rsid w:val="00CB7527"/>
    <w:rsid w:val="00CC29AC"/>
    <w:rsid w:val="00CC5D90"/>
    <w:rsid w:val="00CC6013"/>
    <w:rsid w:val="00CD01EB"/>
    <w:rsid w:val="00CD0380"/>
    <w:rsid w:val="00CD0467"/>
    <w:rsid w:val="00CD0EB1"/>
    <w:rsid w:val="00CD130D"/>
    <w:rsid w:val="00CD473C"/>
    <w:rsid w:val="00CD4921"/>
    <w:rsid w:val="00CD6DF1"/>
    <w:rsid w:val="00CE3C38"/>
    <w:rsid w:val="00CE42ED"/>
    <w:rsid w:val="00CE4A0A"/>
    <w:rsid w:val="00CE595C"/>
    <w:rsid w:val="00CF013C"/>
    <w:rsid w:val="00CF19F4"/>
    <w:rsid w:val="00CF2F38"/>
    <w:rsid w:val="00CF5DFC"/>
    <w:rsid w:val="00CF601A"/>
    <w:rsid w:val="00CF640D"/>
    <w:rsid w:val="00D06F0E"/>
    <w:rsid w:val="00D10EBC"/>
    <w:rsid w:val="00D12B61"/>
    <w:rsid w:val="00D14C72"/>
    <w:rsid w:val="00D205F3"/>
    <w:rsid w:val="00D20A9E"/>
    <w:rsid w:val="00D21DE9"/>
    <w:rsid w:val="00D27E81"/>
    <w:rsid w:val="00D31D3B"/>
    <w:rsid w:val="00D34F2A"/>
    <w:rsid w:val="00D35F1C"/>
    <w:rsid w:val="00D37D38"/>
    <w:rsid w:val="00D531E2"/>
    <w:rsid w:val="00D54D4D"/>
    <w:rsid w:val="00D56D80"/>
    <w:rsid w:val="00D626BA"/>
    <w:rsid w:val="00D62C8C"/>
    <w:rsid w:val="00D65DBE"/>
    <w:rsid w:val="00D65E65"/>
    <w:rsid w:val="00D66EC6"/>
    <w:rsid w:val="00D67C10"/>
    <w:rsid w:val="00D71104"/>
    <w:rsid w:val="00D77780"/>
    <w:rsid w:val="00D82A5C"/>
    <w:rsid w:val="00D87BA3"/>
    <w:rsid w:val="00D9195D"/>
    <w:rsid w:val="00D94A83"/>
    <w:rsid w:val="00D94BE9"/>
    <w:rsid w:val="00D95778"/>
    <w:rsid w:val="00DA3EDC"/>
    <w:rsid w:val="00DA6CCC"/>
    <w:rsid w:val="00DA7041"/>
    <w:rsid w:val="00DA7CC1"/>
    <w:rsid w:val="00DB262B"/>
    <w:rsid w:val="00DB4755"/>
    <w:rsid w:val="00DC41E6"/>
    <w:rsid w:val="00DC7EE4"/>
    <w:rsid w:val="00DD49E7"/>
    <w:rsid w:val="00DE22E3"/>
    <w:rsid w:val="00DE2EB5"/>
    <w:rsid w:val="00DE314A"/>
    <w:rsid w:val="00DE3397"/>
    <w:rsid w:val="00DE3A25"/>
    <w:rsid w:val="00DF36A8"/>
    <w:rsid w:val="00DF4E50"/>
    <w:rsid w:val="00E0065E"/>
    <w:rsid w:val="00E03A23"/>
    <w:rsid w:val="00E0475B"/>
    <w:rsid w:val="00E06389"/>
    <w:rsid w:val="00E07848"/>
    <w:rsid w:val="00E11EF0"/>
    <w:rsid w:val="00E12886"/>
    <w:rsid w:val="00E13447"/>
    <w:rsid w:val="00E136FA"/>
    <w:rsid w:val="00E13827"/>
    <w:rsid w:val="00E13F09"/>
    <w:rsid w:val="00E14BF2"/>
    <w:rsid w:val="00E14EA3"/>
    <w:rsid w:val="00E23432"/>
    <w:rsid w:val="00E2349D"/>
    <w:rsid w:val="00E2603A"/>
    <w:rsid w:val="00E27266"/>
    <w:rsid w:val="00E303B6"/>
    <w:rsid w:val="00E3082F"/>
    <w:rsid w:val="00E32291"/>
    <w:rsid w:val="00E32E0B"/>
    <w:rsid w:val="00E3468A"/>
    <w:rsid w:val="00E34C72"/>
    <w:rsid w:val="00E37101"/>
    <w:rsid w:val="00E41246"/>
    <w:rsid w:val="00E41377"/>
    <w:rsid w:val="00E414B2"/>
    <w:rsid w:val="00E42E1D"/>
    <w:rsid w:val="00E4442E"/>
    <w:rsid w:val="00E45B56"/>
    <w:rsid w:val="00E571BB"/>
    <w:rsid w:val="00E60FCF"/>
    <w:rsid w:val="00E61422"/>
    <w:rsid w:val="00E71185"/>
    <w:rsid w:val="00E7121A"/>
    <w:rsid w:val="00E71782"/>
    <w:rsid w:val="00E71E25"/>
    <w:rsid w:val="00E72C33"/>
    <w:rsid w:val="00E74CE8"/>
    <w:rsid w:val="00E877CC"/>
    <w:rsid w:val="00E90535"/>
    <w:rsid w:val="00E92D8E"/>
    <w:rsid w:val="00E94642"/>
    <w:rsid w:val="00EA0FDA"/>
    <w:rsid w:val="00EA4997"/>
    <w:rsid w:val="00EA7489"/>
    <w:rsid w:val="00EB20FF"/>
    <w:rsid w:val="00EB66AF"/>
    <w:rsid w:val="00EB718A"/>
    <w:rsid w:val="00EB7D32"/>
    <w:rsid w:val="00EC0405"/>
    <w:rsid w:val="00EC1319"/>
    <w:rsid w:val="00EC6E5F"/>
    <w:rsid w:val="00EC7B57"/>
    <w:rsid w:val="00ED3A56"/>
    <w:rsid w:val="00ED49BC"/>
    <w:rsid w:val="00ED57DF"/>
    <w:rsid w:val="00EE021A"/>
    <w:rsid w:val="00EE1B8D"/>
    <w:rsid w:val="00EE339C"/>
    <w:rsid w:val="00EE5D84"/>
    <w:rsid w:val="00EE6CBB"/>
    <w:rsid w:val="00EF339F"/>
    <w:rsid w:val="00EF6B06"/>
    <w:rsid w:val="00F03001"/>
    <w:rsid w:val="00F060A0"/>
    <w:rsid w:val="00F11194"/>
    <w:rsid w:val="00F1580B"/>
    <w:rsid w:val="00F16A2B"/>
    <w:rsid w:val="00F1704C"/>
    <w:rsid w:val="00F23AA7"/>
    <w:rsid w:val="00F247AC"/>
    <w:rsid w:val="00F24C9A"/>
    <w:rsid w:val="00F269DB"/>
    <w:rsid w:val="00F26A84"/>
    <w:rsid w:val="00F27B70"/>
    <w:rsid w:val="00F348FC"/>
    <w:rsid w:val="00F40CEA"/>
    <w:rsid w:val="00F416EE"/>
    <w:rsid w:val="00F41FF8"/>
    <w:rsid w:val="00F449AF"/>
    <w:rsid w:val="00F46093"/>
    <w:rsid w:val="00F5024A"/>
    <w:rsid w:val="00F518EB"/>
    <w:rsid w:val="00F5459A"/>
    <w:rsid w:val="00F55E21"/>
    <w:rsid w:val="00F71A44"/>
    <w:rsid w:val="00F71F43"/>
    <w:rsid w:val="00F7200F"/>
    <w:rsid w:val="00F758DC"/>
    <w:rsid w:val="00F75CCC"/>
    <w:rsid w:val="00F76411"/>
    <w:rsid w:val="00F76D79"/>
    <w:rsid w:val="00F77880"/>
    <w:rsid w:val="00F84400"/>
    <w:rsid w:val="00F862B9"/>
    <w:rsid w:val="00F91508"/>
    <w:rsid w:val="00F91C24"/>
    <w:rsid w:val="00F92FC7"/>
    <w:rsid w:val="00FB4A76"/>
    <w:rsid w:val="00FB51DB"/>
    <w:rsid w:val="00FB7E80"/>
    <w:rsid w:val="00FC34DB"/>
    <w:rsid w:val="00FC4B2C"/>
    <w:rsid w:val="00FC6452"/>
    <w:rsid w:val="00FD194A"/>
    <w:rsid w:val="00FD37FE"/>
    <w:rsid w:val="00FD45A5"/>
    <w:rsid w:val="00FD70A6"/>
    <w:rsid w:val="00FE3993"/>
    <w:rsid w:val="00FE660F"/>
    <w:rsid w:val="00FF14EF"/>
    <w:rsid w:val="00FF4680"/>
    <w:rsid w:val="00FF629A"/>
    <w:rsid w:val="00FF668F"/>
    <w:rsid w:val="011965C7"/>
    <w:rsid w:val="011D16FF"/>
    <w:rsid w:val="012B3606"/>
    <w:rsid w:val="01680D21"/>
    <w:rsid w:val="019A2963"/>
    <w:rsid w:val="01C9297D"/>
    <w:rsid w:val="01ED40D7"/>
    <w:rsid w:val="0202642F"/>
    <w:rsid w:val="0217619D"/>
    <w:rsid w:val="024743B0"/>
    <w:rsid w:val="029C0681"/>
    <w:rsid w:val="02A73569"/>
    <w:rsid w:val="02E8675B"/>
    <w:rsid w:val="02F17042"/>
    <w:rsid w:val="030F6D7A"/>
    <w:rsid w:val="03295017"/>
    <w:rsid w:val="034C70EF"/>
    <w:rsid w:val="035A57BC"/>
    <w:rsid w:val="036C5B21"/>
    <w:rsid w:val="03804BD4"/>
    <w:rsid w:val="03A9636D"/>
    <w:rsid w:val="03B17631"/>
    <w:rsid w:val="03B5043E"/>
    <w:rsid w:val="03C2726F"/>
    <w:rsid w:val="03C6388D"/>
    <w:rsid w:val="03C81C2F"/>
    <w:rsid w:val="03C948E9"/>
    <w:rsid w:val="03F07ADE"/>
    <w:rsid w:val="042D1459"/>
    <w:rsid w:val="04387860"/>
    <w:rsid w:val="043E08AE"/>
    <w:rsid w:val="04871FD0"/>
    <w:rsid w:val="049B5F33"/>
    <w:rsid w:val="04AE7315"/>
    <w:rsid w:val="04B553E8"/>
    <w:rsid w:val="04C7032F"/>
    <w:rsid w:val="04F471C6"/>
    <w:rsid w:val="05090867"/>
    <w:rsid w:val="052104FA"/>
    <w:rsid w:val="05497D3C"/>
    <w:rsid w:val="054E0D55"/>
    <w:rsid w:val="05577841"/>
    <w:rsid w:val="056C6C4D"/>
    <w:rsid w:val="0597493F"/>
    <w:rsid w:val="05CA7536"/>
    <w:rsid w:val="05CC0975"/>
    <w:rsid w:val="05F44026"/>
    <w:rsid w:val="060D4545"/>
    <w:rsid w:val="063B64A2"/>
    <w:rsid w:val="063F6593"/>
    <w:rsid w:val="06521F42"/>
    <w:rsid w:val="06883D23"/>
    <w:rsid w:val="068E324C"/>
    <w:rsid w:val="06CD2E6A"/>
    <w:rsid w:val="06ED30F0"/>
    <w:rsid w:val="0737768A"/>
    <w:rsid w:val="07414C6B"/>
    <w:rsid w:val="0754287B"/>
    <w:rsid w:val="07666CF9"/>
    <w:rsid w:val="07701ED5"/>
    <w:rsid w:val="078C6D57"/>
    <w:rsid w:val="07945979"/>
    <w:rsid w:val="07B90A2B"/>
    <w:rsid w:val="07C0536E"/>
    <w:rsid w:val="08026D59"/>
    <w:rsid w:val="08055CAB"/>
    <w:rsid w:val="084E3158"/>
    <w:rsid w:val="08662069"/>
    <w:rsid w:val="086E397E"/>
    <w:rsid w:val="087A1921"/>
    <w:rsid w:val="089B1C05"/>
    <w:rsid w:val="089B2AE4"/>
    <w:rsid w:val="08B71056"/>
    <w:rsid w:val="08D1299E"/>
    <w:rsid w:val="08E71FEF"/>
    <w:rsid w:val="08E82C6B"/>
    <w:rsid w:val="090669A9"/>
    <w:rsid w:val="090A1BED"/>
    <w:rsid w:val="091A7ADF"/>
    <w:rsid w:val="0923723E"/>
    <w:rsid w:val="093449FA"/>
    <w:rsid w:val="0953142E"/>
    <w:rsid w:val="09692690"/>
    <w:rsid w:val="09A10062"/>
    <w:rsid w:val="09A83F7D"/>
    <w:rsid w:val="09B94AB2"/>
    <w:rsid w:val="09CF50F8"/>
    <w:rsid w:val="0A0713EA"/>
    <w:rsid w:val="0A403C8C"/>
    <w:rsid w:val="0A4E1198"/>
    <w:rsid w:val="0A63075F"/>
    <w:rsid w:val="0A8E73FF"/>
    <w:rsid w:val="0AA21C2F"/>
    <w:rsid w:val="0AA769DC"/>
    <w:rsid w:val="0ADD3D60"/>
    <w:rsid w:val="0B1C44C8"/>
    <w:rsid w:val="0B1D549C"/>
    <w:rsid w:val="0B39224E"/>
    <w:rsid w:val="0B6C5FF9"/>
    <w:rsid w:val="0B8F561B"/>
    <w:rsid w:val="0B9263B6"/>
    <w:rsid w:val="0B9619D3"/>
    <w:rsid w:val="0BB87FE9"/>
    <w:rsid w:val="0BC8109A"/>
    <w:rsid w:val="0BC976F7"/>
    <w:rsid w:val="0BEC2548"/>
    <w:rsid w:val="0C3D75E9"/>
    <w:rsid w:val="0C5D2187"/>
    <w:rsid w:val="0C7C60FF"/>
    <w:rsid w:val="0CA138E6"/>
    <w:rsid w:val="0CC929FF"/>
    <w:rsid w:val="0D0C1474"/>
    <w:rsid w:val="0D4656CE"/>
    <w:rsid w:val="0D51214F"/>
    <w:rsid w:val="0D541704"/>
    <w:rsid w:val="0D727C35"/>
    <w:rsid w:val="0D7E21D6"/>
    <w:rsid w:val="0DAB0119"/>
    <w:rsid w:val="0DD55E62"/>
    <w:rsid w:val="0DE22594"/>
    <w:rsid w:val="0E0B022F"/>
    <w:rsid w:val="0E272EFB"/>
    <w:rsid w:val="0E5857FA"/>
    <w:rsid w:val="0E776C9C"/>
    <w:rsid w:val="0E7E7AE0"/>
    <w:rsid w:val="0E90187D"/>
    <w:rsid w:val="0F090C68"/>
    <w:rsid w:val="0F2B563C"/>
    <w:rsid w:val="0F644A2A"/>
    <w:rsid w:val="0F680E79"/>
    <w:rsid w:val="0F807958"/>
    <w:rsid w:val="0F882744"/>
    <w:rsid w:val="0FB26382"/>
    <w:rsid w:val="0FB84B9E"/>
    <w:rsid w:val="0FC01922"/>
    <w:rsid w:val="0FE17283"/>
    <w:rsid w:val="0FE74D6E"/>
    <w:rsid w:val="0FF02C95"/>
    <w:rsid w:val="0FF942C1"/>
    <w:rsid w:val="102E70CD"/>
    <w:rsid w:val="105015D1"/>
    <w:rsid w:val="10832D67"/>
    <w:rsid w:val="108A528F"/>
    <w:rsid w:val="10A159C2"/>
    <w:rsid w:val="10C43282"/>
    <w:rsid w:val="10E1111F"/>
    <w:rsid w:val="10E52C71"/>
    <w:rsid w:val="10E704FD"/>
    <w:rsid w:val="10E87F18"/>
    <w:rsid w:val="10F15F04"/>
    <w:rsid w:val="10F43F05"/>
    <w:rsid w:val="10F44E7E"/>
    <w:rsid w:val="112D282A"/>
    <w:rsid w:val="11A804D5"/>
    <w:rsid w:val="11AA233E"/>
    <w:rsid w:val="11E516AE"/>
    <w:rsid w:val="121A6188"/>
    <w:rsid w:val="12B2338E"/>
    <w:rsid w:val="12BA1704"/>
    <w:rsid w:val="12BD610C"/>
    <w:rsid w:val="12DA730F"/>
    <w:rsid w:val="131A543A"/>
    <w:rsid w:val="13527EA7"/>
    <w:rsid w:val="13870F98"/>
    <w:rsid w:val="138F73CD"/>
    <w:rsid w:val="1393547E"/>
    <w:rsid w:val="13A91685"/>
    <w:rsid w:val="13B10E9B"/>
    <w:rsid w:val="13BF6C3E"/>
    <w:rsid w:val="13DA0C71"/>
    <w:rsid w:val="13E06A7A"/>
    <w:rsid w:val="13EA1FCB"/>
    <w:rsid w:val="14050B69"/>
    <w:rsid w:val="141A6F21"/>
    <w:rsid w:val="146C3459"/>
    <w:rsid w:val="14754DB5"/>
    <w:rsid w:val="14FE4900"/>
    <w:rsid w:val="152E37FA"/>
    <w:rsid w:val="1533712F"/>
    <w:rsid w:val="15663828"/>
    <w:rsid w:val="157C0713"/>
    <w:rsid w:val="15BD6852"/>
    <w:rsid w:val="15F075F3"/>
    <w:rsid w:val="15FA42D9"/>
    <w:rsid w:val="16125217"/>
    <w:rsid w:val="163E6172"/>
    <w:rsid w:val="165A2AEA"/>
    <w:rsid w:val="16794CD7"/>
    <w:rsid w:val="168915A7"/>
    <w:rsid w:val="1696081E"/>
    <w:rsid w:val="16A24789"/>
    <w:rsid w:val="16CE49BA"/>
    <w:rsid w:val="16EF5B1C"/>
    <w:rsid w:val="170501AF"/>
    <w:rsid w:val="17486C6A"/>
    <w:rsid w:val="17542E22"/>
    <w:rsid w:val="177F5023"/>
    <w:rsid w:val="178F0FE3"/>
    <w:rsid w:val="17B850F5"/>
    <w:rsid w:val="17CF282F"/>
    <w:rsid w:val="17D71BFA"/>
    <w:rsid w:val="17DA4231"/>
    <w:rsid w:val="17EC7967"/>
    <w:rsid w:val="17FB37F8"/>
    <w:rsid w:val="182F029E"/>
    <w:rsid w:val="183328A5"/>
    <w:rsid w:val="18530A9B"/>
    <w:rsid w:val="18553D10"/>
    <w:rsid w:val="18A712E4"/>
    <w:rsid w:val="18CE78C5"/>
    <w:rsid w:val="18F27B86"/>
    <w:rsid w:val="18FF04DB"/>
    <w:rsid w:val="18FF72C7"/>
    <w:rsid w:val="190939F8"/>
    <w:rsid w:val="19124356"/>
    <w:rsid w:val="19417BE5"/>
    <w:rsid w:val="194B1D51"/>
    <w:rsid w:val="196C53BE"/>
    <w:rsid w:val="196E2223"/>
    <w:rsid w:val="196F4413"/>
    <w:rsid w:val="19844D88"/>
    <w:rsid w:val="19A039EE"/>
    <w:rsid w:val="19C05549"/>
    <w:rsid w:val="19F65A1B"/>
    <w:rsid w:val="1A502940"/>
    <w:rsid w:val="1A6428B8"/>
    <w:rsid w:val="1A711AB8"/>
    <w:rsid w:val="1A721EA5"/>
    <w:rsid w:val="1AC53E58"/>
    <w:rsid w:val="1ADF2755"/>
    <w:rsid w:val="1AF2777A"/>
    <w:rsid w:val="1B2215EA"/>
    <w:rsid w:val="1B383E25"/>
    <w:rsid w:val="1B393A75"/>
    <w:rsid w:val="1B3A3751"/>
    <w:rsid w:val="1B5E0C0B"/>
    <w:rsid w:val="1B627CAA"/>
    <w:rsid w:val="1B6E1CB8"/>
    <w:rsid w:val="1B9514EC"/>
    <w:rsid w:val="1B9863E4"/>
    <w:rsid w:val="1C040CF1"/>
    <w:rsid w:val="1C0D2803"/>
    <w:rsid w:val="1C4C1915"/>
    <w:rsid w:val="1C7B471C"/>
    <w:rsid w:val="1C8A549C"/>
    <w:rsid w:val="1C9D3679"/>
    <w:rsid w:val="1CC61D25"/>
    <w:rsid w:val="1CD04682"/>
    <w:rsid w:val="1CDA63A4"/>
    <w:rsid w:val="1CF576DE"/>
    <w:rsid w:val="1D015D66"/>
    <w:rsid w:val="1D074CFA"/>
    <w:rsid w:val="1D091F11"/>
    <w:rsid w:val="1D0E339D"/>
    <w:rsid w:val="1D47231B"/>
    <w:rsid w:val="1D4A033E"/>
    <w:rsid w:val="1D537ED4"/>
    <w:rsid w:val="1D6B2CDA"/>
    <w:rsid w:val="1D937733"/>
    <w:rsid w:val="1DA61F03"/>
    <w:rsid w:val="1DD41F50"/>
    <w:rsid w:val="1DE87DEC"/>
    <w:rsid w:val="1DEC0549"/>
    <w:rsid w:val="1DF525FE"/>
    <w:rsid w:val="1DFE2C0E"/>
    <w:rsid w:val="1E0042B8"/>
    <w:rsid w:val="1E2A1CA9"/>
    <w:rsid w:val="1E3C75ED"/>
    <w:rsid w:val="1E482711"/>
    <w:rsid w:val="1E5966DD"/>
    <w:rsid w:val="1E821ECA"/>
    <w:rsid w:val="1E9634BE"/>
    <w:rsid w:val="1EA35375"/>
    <w:rsid w:val="1ECD4009"/>
    <w:rsid w:val="1ED107D5"/>
    <w:rsid w:val="1ED80459"/>
    <w:rsid w:val="1EE238B0"/>
    <w:rsid w:val="1EE550DF"/>
    <w:rsid w:val="1EF006D4"/>
    <w:rsid w:val="1F136D45"/>
    <w:rsid w:val="1F1F3160"/>
    <w:rsid w:val="1F2A3DBA"/>
    <w:rsid w:val="1F331D63"/>
    <w:rsid w:val="1F4D49FD"/>
    <w:rsid w:val="1F7614AF"/>
    <w:rsid w:val="1F914331"/>
    <w:rsid w:val="206973F1"/>
    <w:rsid w:val="2096393E"/>
    <w:rsid w:val="20D220CB"/>
    <w:rsid w:val="20D65A33"/>
    <w:rsid w:val="21235A9D"/>
    <w:rsid w:val="2140008F"/>
    <w:rsid w:val="215533A8"/>
    <w:rsid w:val="21584478"/>
    <w:rsid w:val="218F68ED"/>
    <w:rsid w:val="21BE36DA"/>
    <w:rsid w:val="21BE494B"/>
    <w:rsid w:val="21E612F2"/>
    <w:rsid w:val="22132051"/>
    <w:rsid w:val="22660299"/>
    <w:rsid w:val="227C1F10"/>
    <w:rsid w:val="22831C4F"/>
    <w:rsid w:val="22CF706C"/>
    <w:rsid w:val="22F4634C"/>
    <w:rsid w:val="23012AA5"/>
    <w:rsid w:val="23052CBB"/>
    <w:rsid w:val="23104CF1"/>
    <w:rsid w:val="232015FE"/>
    <w:rsid w:val="239563D8"/>
    <w:rsid w:val="23D83DF9"/>
    <w:rsid w:val="241A44CC"/>
    <w:rsid w:val="242F3FDF"/>
    <w:rsid w:val="243C4917"/>
    <w:rsid w:val="246444F3"/>
    <w:rsid w:val="24646D48"/>
    <w:rsid w:val="24A73502"/>
    <w:rsid w:val="24B822C2"/>
    <w:rsid w:val="24C8360A"/>
    <w:rsid w:val="24D17D05"/>
    <w:rsid w:val="254A5744"/>
    <w:rsid w:val="254E52F8"/>
    <w:rsid w:val="25547B79"/>
    <w:rsid w:val="256D535E"/>
    <w:rsid w:val="25723BBF"/>
    <w:rsid w:val="25763A96"/>
    <w:rsid w:val="25993EA2"/>
    <w:rsid w:val="25CE30C3"/>
    <w:rsid w:val="25D33536"/>
    <w:rsid w:val="25F2052F"/>
    <w:rsid w:val="26B116EE"/>
    <w:rsid w:val="26C224D0"/>
    <w:rsid w:val="26CD4687"/>
    <w:rsid w:val="26EE6F31"/>
    <w:rsid w:val="270D2743"/>
    <w:rsid w:val="27283A85"/>
    <w:rsid w:val="27416CC4"/>
    <w:rsid w:val="27B931DF"/>
    <w:rsid w:val="27CC3E8F"/>
    <w:rsid w:val="286E636E"/>
    <w:rsid w:val="287F61F3"/>
    <w:rsid w:val="28C7408F"/>
    <w:rsid w:val="28DD00AA"/>
    <w:rsid w:val="28F32D74"/>
    <w:rsid w:val="290166D8"/>
    <w:rsid w:val="291F46CB"/>
    <w:rsid w:val="29327A73"/>
    <w:rsid w:val="293A2158"/>
    <w:rsid w:val="296F41AD"/>
    <w:rsid w:val="299306E9"/>
    <w:rsid w:val="299B2F17"/>
    <w:rsid w:val="29A076EC"/>
    <w:rsid w:val="29A5530D"/>
    <w:rsid w:val="29A82BCE"/>
    <w:rsid w:val="29C87693"/>
    <w:rsid w:val="29CD1E61"/>
    <w:rsid w:val="2A142B14"/>
    <w:rsid w:val="2A4565AE"/>
    <w:rsid w:val="2A8B01E7"/>
    <w:rsid w:val="2A9C1406"/>
    <w:rsid w:val="2AC07E08"/>
    <w:rsid w:val="2AD96623"/>
    <w:rsid w:val="2AF672CF"/>
    <w:rsid w:val="2B0753E1"/>
    <w:rsid w:val="2B1B1872"/>
    <w:rsid w:val="2B215B9B"/>
    <w:rsid w:val="2B7A0EB0"/>
    <w:rsid w:val="2B80795E"/>
    <w:rsid w:val="2B977FCA"/>
    <w:rsid w:val="2BC33B44"/>
    <w:rsid w:val="2BD853F7"/>
    <w:rsid w:val="2BEA5CC9"/>
    <w:rsid w:val="2BF468F0"/>
    <w:rsid w:val="2BFE24CD"/>
    <w:rsid w:val="2C0C3417"/>
    <w:rsid w:val="2C0D6050"/>
    <w:rsid w:val="2C2C65C9"/>
    <w:rsid w:val="2C514CF7"/>
    <w:rsid w:val="2C566EC8"/>
    <w:rsid w:val="2C610AC4"/>
    <w:rsid w:val="2C7C0FBB"/>
    <w:rsid w:val="2C8139BA"/>
    <w:rsid w:val="2CAA329F"/>
    <w:rsid w:val="2CBA632D"/>
    <w:rsid w:val="2CEE4E8D"/>
    <w:rsid w:val="2D6913FC"/>
    <w:rsid w:val="2D8D4BC3"/>
    <w:rsid w:val="2DA10EED"/>
    <w:rsid w:val="2DA76642"/>
    <w:rsid w:val="2DB41456"/>
    <w:rsid w:val="2E145B34"/>
    <w:rsid w:val="2E2832F6"/>
    <w:rsid w:val="2E2C07F9"/>
    <w:rsid w:val="2E671589"/>
    <w:rsid w:val="2E891F98"/>
    <w:rsid w:val="2ED51F3F"/>
    <w:rsid w:val="2EFC4019"/>
    <w:rsid w:val="2F2555BD"/>
    <w:rsid w:val="2F2C77C8"/>
    <w:rsid w:val="2F825B67"/>
    <w:rsid w:val="2FDA4C96"/>
    <w:rsid w:val="2FEA7AF6"/>
    <w:rsid w:val="301B4550"/>
    <w:rsid w:val="30283CC8"/>
    <w:rsid w:val="304023E1"/>
    <w:rsid w:val="304D0577"/>
    <w:rsid w:val="305A5345"/>
    <w:rsid w:val="30A3048F"/>
    <w:rsid w:val="30C50E4D"/>
    <w:rsid w:val="30D206F6"/>
    <w:rsid w:val="30FC5006"/>
    <w:rsid w:val="31250142"/>
    <w:rsid w:val="31750389"/>
    <w:rsid w:val="31816AEB"/>
    <w:rsid w:val="318A5CC8"/>
    <w:rsid w:val="31A17C9A"/>
    <w:rsid w:val="31A82BAF"/>
    <w:rsid w:val="31B65BB1"/>
    <w:rsid w:val="31C20D6C"/>
    <w:rsid w:val="32262752"/>
    <w:rsid w:val="32302CFA"/>
    <w:rsid w:val="326F74E7"/>
    <w:rsid w:val="328C6B84"/>
    <w:rsid w:val="32E21237"/>
    <w:rsid w:val="32F21A93"/>
    <w:rsid w:val="330C2957"/>
    <w:rsid w:val="33467230"/>
    <w:rsid w:val="33CD4E1D"/>
    <w:rsid w:val="341505E0"/>
    <w:rsid w:val="34612560"/>
    <w:rsid w:val="348A4F07"/>
    <w:rsid w:val="34D05C16"/>
    <w:rsid w:val="34DA262A"/>
    <w:rsid w:val="352726FF"/>
    <w:rsid w:val="35966C6F"/>
    <w:rsid w:val="35B66A6F"/>
    <w:rsid w:val="35C74A11"/>
    <w:rsid w:val="35D24B6F"/>
    <w:rsid w:val="35D65FC9"/>
    <w:rsid w:val="35DF5889"/>
    <w:rsid w:val="35F00F4B"/>
    <w:rsid w:val="361349AE"/>
    <w:rsid w:val="36826BBC"/>
    <w:rsid w:val="369F0C1E"/>
    <w:rsid w:val="36A7417E"/>
    <w:rsid w:val="36C80917"/>
    <w:rsid w:val="36D92D70"/>
    <w:rsid w:val="36E142E5"/>
    <w:rsid w:val="36EA70DB"/>
    <w:rsid w:val="36FE756F"/>
    <w:rsid w:val="3759618D"/>
    <w:rsid w:val="37844827"/>
    <w:rsid w:val="37985B99"/>
    <w:rsid w:val="37A67331"/>
    <w:rsid w:val="37CF580A"/>
    <w:rsid w:val="38117A12"/>
    <w:rsid w:val="382221C6"/>
    <w:rsid w:val="38374F59"/>
    <w:rsid w:val="38486107"/>
    <w:rsid w:val="384D5B19"/>
    <w:rsid w:val="38994999"/>
    <w:rsid w:val="38EC46EF"/>
    <w:rsid w:val="38FD4A34"/>
    <w:rsid w:val="39351538"/>
    <w:rsid w:val="395C7BF2"/>
    <w:rsid w:val="396E6E1F"/>
    <w:rsid w:val="397E11F0"/>
    <w:rsid w:val="39A45046"/>
    <w:rsid w:val="39AE1BDA"/>
    <w:rsid w:val="39B115F0"/>
    <w:rsid w:val="3A027F95"/>
    <w:rsid w:val="3A0478A8"/>
    <w:rsid w:val="3A0B095D"/>
    <w:rsid w:val="3A0D08BF"/>
    <w:rsid w:val="3A1A5683"/>
    <w:rsid w:val="3A2337EB"/>
    <w:rsid w:val="3A29376B"/>
    <w:rsid w:val="3A2D4F12"/>
    <w:rsid w:val="3A315021"/>
    <w:rsid w:val="3A4F7921"/>
    <w:rsid w:val="3A645592"/>
    <w:rsid w:val="3AB32F0C"/>
    <w:rsid w:val="3ADB7BD2"/>
    <w:rsid w:val="3B000D67"/>
    <w:rsid w:val="3B170EE4"/>
    <w:rsid w:val="3B2D45F6"/>
    <w:rsid w:val="3B3230A5"/>
    <w:rsid w:val="3B3B626B"/>
    <w:rsid w:val="3B6E533A"/>
    <w:rsid w:val="3BA55FC9"/>
    <w:rsid w:val="3BCF78FF"/>
    <w:rsid w:val="3C0B0256"/>
    <w:rsid w:val="3C1303F9"/>
    <w:rsid w:val="3C330937"/>
    <w:rsid w:val="3C3E6E90"/>
    <w:rsid w:val="3C4A39E4"/>
    <w:rsid w:val="3C594E5B"/>
    <w:rsid w:val="3C646E21"/>
    <w:rsid w:val="3CA36E53"/>
    <w:rsid w:val="3D143CEA"/>
    <w:rsid w:val="3D2468C8"/>
    <w:rsid w:val="3D2939D6"/>
    <w:rsid w:val="3D9B2171"/>
    <w:rsid w:val="3DB83084"/>
    <w:rsid w:val="3DCE2BC9"/>
    <w:rsid w:val="3DDA0A65"/>
    <w:rsid w:val="3DEF381E"/>
    <w:rsid w:val="3E253CB8"/>
    <w:rsid w:val="3E2866E9"/>
    <w:rsid w:val="3E3C0338"/>
    <w:rsid w:val="3E3D3CCB"/>
    <w:rsid w:val="3E3F1E7E"/>
    <w:rsid w:val="3E847197"/>
    <w:rsid w:val="3E894691"/>
    <w:rsid w:val="3EAA7141"/>
    <w:rsid w:val="3EAD7F28"/>
    <w:rsid w:val="3EB812BC"/>
    <w:rsid w:val="3ED51BF2"/>
    <w:rsid w:val="3EE12DE6"/>
    <w:rsid w:val="3EE15D1F"/>
    <w:rsid w:val="3EF51CB2"/>
    <w:rsid w:val="3F0D151B"/>
    <w:rsid w:val="3F193424"/>
    <w:rsid w:val="3F234D0D"/>
    <w:rsid w:val="3F5009CB"/>
    <w:rsid w:val="3F707E62"/>
    <w:rsid w:val="3F773569"/>
    <w:rsid w:val="3F7D2297"/>
    <w:rsid w:val="3F7E510F"/>
    <w:rsid w:val="3F9859F1"/>
    <w:rsid w:val="3FD24478"/>
    <w:rsid w:val="3FF33776"/>
    <w:rsid w:val="40036B6F"/>
    <w:rsid w:val="400E5153"/>
    <w:rsid w:val="403F25D5"/>
    <w:rsid w:val="406667DB"/>
    <w:rsid w:val="40786767"/>
    <w:rsid w:val="407D7912"/>
    <w:rsid w:val="40885DD5"/>
    <w:rsid w:val="409444EC"/>
    <w:rsid w:val="409470BD"/>
    <w:rsid w:val="40F03CB3"/>
    <w:rsid w:val="40F21EC1"/>
    <w:rsid w:val="41242BEB"/>
    <w:rsid w:val="41266BFF"/>
    <w:rsid w:val="413C52E5"/>
    <w:rsid w:val="419C352B"/>
    <w:rsid w:val="41B6637D"/>
    <w:rsid w:val="41C4269A"/>
    <w:rsid w:val="41DD1CB3"/>
    <w:rsid w:val="420A555F"/>
    <w:rsid w:val="421363CB"/>
    <w:rsid w:val="42352DFC"/>
    <w:rsid w:val="424A305A"/>
    <w:rsid w:val="424D4B68"/>
    <w:rsid w:val="42885A5F"/>
    <w:rsid w:val="42906C6B"/>
    <w:rsid w:val="42BB50AC"/>
    <w:rsid w:val="42E857DA"/>
    <w:rsid w:val="42FF56D4"/>
    <w:rsid w:val="431E1957"/>
    <w:rsid w:val="43466758"/>
    <w:rsid w:val="43553805"/>
    <w:rsid w:val="435B4982"/>
    <w:rsid w:val="43703451"/>
    <w:rsid w:val="4393475E"/>
    <w:rsid w:val="439E29C3"/>
    <w:rsid w:val="43BF6782"/>
    <w:rsid w:val="44131AFD"/>
    <w:rsid w:val="4423451C"/>
    <w:rsid w:val="445B1E58"/>
    <w:rsid w:val="44721A14"/>
    <w:rsid w:val="44846A1E"/>
    <w:rsid w:val="44B8794C"/>
    <w:rsid w:val="44C2214F"/>
    <w:rsid w:val="44D748AB"/>
    <w:rsid w:val="44E2298C"/>
    <w:rsid w:val="453250A1"/>
    <w:rsid w:val="453707F9"/>
    <w:rsid w:val="45742E1E"/>
    <w:rsid w:val="45C270B9"/>
    <w:rsid w:val="45D24477"/>
    <w:rsid w:val="45EC7588"/>
    <w:rsid w:val="460E44E1"/>
    <w:rsid w:val="46425611"/>
    <w:rsid w:val="46906E27"/>
    <w:rsid w:val="46B478B2"/>
    <w:rsid w:val="46C23327"/>
    <w:rsid w:val="46DF730E"/>
    <w:rsid w:val="46F42943"/>
    <w:rsid w:val="470C0C13"/>
    <w:rsid w:val="472B0E12"/>
    <w:rsid w:val="474B1E55"/>
    <w:rsid w:val="475E79F0"/>
    <w:rsid w:val="47636B65"/>
    <w:rsid w:val="476A2753"/>
    <w:rsid w:val="47941C85"/>
    <w:rsid w:val="47B163D1"/>
    <w:rsid w:val="47D44D46"/>
    <w:rsid w:val="47DA4972"/>
    <w:rsid w:val="48067D00"/>
    <w:rsid w:val="48460FB0"/>
    <w:rsid w:val="48506F28"/>
    <w:rsid w:val="48556B66"/>
    <w:rsid w:val="488B4E77"/>
    <w:rsid w:val="48A326DD"/>
    <w:rsid w:val="48A95C49"/>
    <w:rsid w:val="48AC7F24"/>
    <w:rsid w:val="48E60B90"/>
    <w:rsid w:val="49137896"/>
    <w:rsid w:val="49311E98"/>
    <w:rsid w:val="49533C39"/>
    <w:rsid w:val="49740D25"/>
    <w:rsid w:val="49A6398B"/>
    <w:rsid w:val="49C01BA9"/>
    <w:rsid w:val="4A0C19C3"/>
    <w:rsid w:val="4A10055D"/>
    <w:rsid w:val="4A224A4D"/>
    <w:rsid w:val="4A4731EC"/>
    <w:rsid w:val="4A4C2CEB"/>
    <w:rsid w:val="4A57754A"/>
    <w:rsid w:val="4A6210EE"/>
    <w:rsid w:val="4A8240F5"/>
    <w:rsid w:val="4A8B4025"/>
    <w:rsid w:val="4A916094"/>
    <w:rsid w:val="4AA70677"/>
    <w:rsid w:val="4AA7557A"/>
    <w:rsid w:val="4AAD05A1"/>
    <w:rsid w:val="4AFA0618"/>
    <w:rsid w:val="4B5458C1"/>
    <w:rsid w:val="4B745CE6"/>
    <w:rsid w:val="4BBC23DD"/>
    <w:rsid w:val="4BCB567A"/>
    <w:rsid w:val="4BEA157E"/>
    <w:rsid w:val="4C074002"/>
    <w:rsid w:val="4C2B4610"/>
    <w:rsid w:val="4C517D05"/>
    <w:rsid w:val="4C70036B"/>
    <w:rsid w:val="4C8B4439"/>
    <w:rsid w:val="4CB05B1F"/>
    <w:rsid w:val="4CDE2316"/>
    <w:rsid w:val="4CDF0684"/>
    <w:rsid w:val="4CE0559E"/>
    <w:rsid w:val="4CEA3222"/>
    <w:rsid w:val="4CEC3E8E"/>
    <w:rsid w:val="4CF5523E"/>
    <w:rsid w:val="4CFC5F01"/>
    <w:rsid w:val="4D1550E5"/>
    <w:rsid w:val="4D405F70"/>
    <w:rsid w:val="4D605C54"/>
    <w:rsid w:val="4D7218AC"/>
    <w:rsid w:val="4D7972F8"/>
    <w:rsid w:val="4D8E40F7"/>
    <w:rsid w:val="4D927E21"/>
    <w:rsid w:val="4DB915CC"/>
    <w:rsid w:val="4DCB138E"/>
    <w:rsid w:val="4DD93546"/>
    <w:rsid w:val="4DF47921"/>
    <w:rsid w:val="4E066D4A"/>
    <w:rsid w:val="4E3155E5"/>
    <w:rsid w:val="4E76625A"/>
    <w:rsid w:val="4E9C3B15"/>
    <w:rsid w:val="4EA02100"/>
    <w:rsid w:val="4EBC51CC"/>
    <w:rsid w:val="4ED12087"/>
    <w:rsid w:val="4F2852AB"/>
    <w:rsid w:val="4F2F4C65"/>
    <w:rsid w:val="4F40419A"/>
    <w:rsid w:val="4F642884"/>
    <w:rsid w:val="4F884931"/>
    <w:rsid w:val="4F90367A"/>
    <w:rsid w:val="4FB9421F"/>
    <w:rsid w:val="4FB9443F"/>
    <w:rsid w:val="4FE21F90"/>
    <w:rsid w:val="4FE30485"/>
    <w:rsid w:val="501677F0"/>
    <w:rsid w:val="50256BAD"/>
    <w:rsid w:val="502C20F8"/>
    <w:rsid w:val="5061698D"/>
    <w:rsid w:val="506E56D1"/>
    <w:rsid w:val="50CC26CE"/>
    <w:rsid w:val="50FA2FCC"/>
    <w:rsid w:val="51B000BB"/>
    <w:rsid w:val="51C20100"/>
    <w:rsid w:val="51D036A1"/>
    <w:rsid w:val="51E95BE0"/>
    <w:rsid w:val="51F37012"/>
    <w:rsid w:val="52605218"/>
    <w:rsid w:val="52763D5E"/>
    <w:rsid w:val="527905F8"/>
    <w:rsid w:val="5287234C"/>
    <w:rsid w:val="52E1116E"/>
    <w:rsid w:val="52F418F2"/>
    <w:rsid w:val="531937A6"/>
    <w:rsid w:val="532B2556"/>
    <w:rsid w:val="53484B46"/>
    <w:rsid w:val="53500EB8"/>
    <w:rsid w:val="5449029B"/>
    <w:rsid w:val="547D0993"/>
    <w:rsid w:val="548B19DC"/>
    <w:rsid w:val="54B7090E"/>
    <w:rsid w:val="55112468"/>
    <w:rsid w:val="552B7035"/>
    <w:rsid w:val="552D17DB"/>
    <w:rsid w:val="55573103"/>
    <w:rsid w:val="55674B37"/>
    <w:rsid w:val="55810F05"/>
    <w:rsid w:val="55825B0B"/>
    <w:rsid w:val="55C47C8A"/>
    <w:rsid w:val="55E05FB7"/>
    <w:rsid w:val="55FF6B92"/>
    <w:rsid w:val="56196F96"/>
    <w:rsid w:val="569F3EBA"/>
    <w:rsid w:val="56F33F49"/>
    <w:rsid w:val="56F40EE3"/>
    <w:rsid w:val="570016E6"/>
    <w:rsid w:val="570B71CC"/>
    <w:rsid w:val="57127B81"/>
    <w:rsid w:val="571479DC"/>
    <w:rsid w:val="572648C3"/>
    <w:rsid w:val="572804B4"/>
    <w:rsid w:val="5755554B"/>
    <w:rsid w:val="576C0451"/>
    <w:rsid w:val="576F3A30"/>
    <w:rsid w:val="57757457"/>
    <w:rsid w:val="57B74880"/>
    <w:rsid w:val="57B7551B"/>
    <w:rsid w:val="57DF74BD"/>
    <w:rsid w:val="57FC62CB"/>
    <w:rsid w:val="580E67B1"/>
    <w:rsid w:val="581C05E5"/>
    <w:rsid w:val="58206B8C"/>
    <w:rsid w:val="5822400A"/>
    <w:rsid w:val="582E45FD"/>
    <w:rsid w:val="58311774"/>
    <w:rsid w:val="5837418F"/>
    <w:rsid w:val="586C40BB"/>
    <w:rsid w:val="587F42FE"/>
    <w:rsid w:val="58BE53AD"/>
    <w:rsid w:val="58E319EC"/>
    <w:rsid w:val="59154963"/>
    <w:rsid w:val="591E19BA"/>
    <w:rsid w:val="593B3779"/>
    <w:rsid w:val="597A69C4"/>
    <w:rsid w:val="597B0D86"/>
    <w:rsid w:val="598854EA"/>
    <w:rsid w:val="599954ED"/>
    <w:rsid w:val="59BB4B1F"/>
    <w:rsid w:val="59D73107"/>
    <w:rsid w:val="5A1D7190"/>
    <w:rsid w:val="5A403EC1"/>
    <w:rsid w:val="5A6F03B4"/>
    <w:rsid w:val="5A716EC2"/>
    <w:rsid w:val="5A772D7C"/>
    <w:rsid w:val="5AB66AED"/>
    <w:rsid w:val="5AEA0C58"/>
    <w:rsid w:val="5B1124B5"/>
    <w:rsid w:val="5B2B6CA1"/>
    <w:rsid w:val="5C182A2D"/>
    <w:rsid w:val="5C916104"/>
    <w:rsid w:val="5CF5742E"/>
    <w:rsid w:val="5D144196"/>
    <w:rsid w:val="5D1B4D0B"/>
    <w:rsid w:val="5DE45311"/>
    <w:rsid w:val="5DEA5320"/>
    <w:rsid w:val="5DFC6F12"/>
    <w:rsid w:val="5E0C0685"/>
    <w:rsid w:val="5E252D81"/>
    <w:rsid w:val="5E573727"/>
    <w:rsid w:val="5E7F3778"/>
    <w:rsid w:val="5E920868"/>
    <w:rsid w:val="5E9E54A3"/>
    <w:rsid w:val="5EA842DD"/>
    <w:rsid w:val="5F2F23A0"/>
    <w:rsid w:val="5F4B438F"/>
    <w:rsid w:val="5F857663"/>
    <w:rsid w:val="5F94400C"/>
    <w:rsid w:val="5F966A2E"/>
    <w:rsid w:val="5FC52AE5"/>
    <w:rsid w:val="60286B2B"/>
    <w:rsid w:val="60362C1D"/>
    <w:rsid w:val="6068715A"/>
    <w:rsid w:val="606F3518"/>
    <w:rsid w:val="60761249"/>
    <w:rsid w:val="60855A19"/>
    <w:rsid w:val="60E623FA"/>
    <w:rsid w:val="612D76EA"/>
    <w:rsid w:val="613014FE"/>
    <w:rsid w:val="61671DF3"/>
    <w:rsid w:val="61713D74"/>
    <w:rsid w:val="61724E82"/>
    <w:rsid w:val="61A53969"/>
    <w:rsid w:val="61A85275"/>
    <w:rsid w:val="61CF03E5"/>
    <w:rsid w:val="61E0242D"/>
    <w:rsid w:val="621B1527"/>
    <w:rsid w:val="626C1A8B"/>
    <w:rsid w:val="629D47F5"/>
    <w:rsid w:val="62CA0304"/>
    <w:rsid w:val="62D0559F"/>
    <w:rsid w:val="62FE67F8"/>
    <w:rsid w:val="630F57DB"/>
    <w:rsid w:val="631037AC"/>
    <w:rsid w:val="633264E3"/>
    <w:rsid w:val="633F3067"/>
    <w:rsid w:val="63605F1D"/>
    <w:rsid w:val="6368087C"/>
    <w:rsid w:val="63731FAE"/>
    <w:rsid w:val="637F2AD6"/>
    <w:rsid w:val="63DE291C"/>
    <w:rsid w:val="63EB3D07"/>
    <w:rsid w:val="63F03E68"/>
    <w:rsid w:val="6416030C"/>
    <w:rsid w:val="642F0CAE"/>
    <w:rsid w:val="644F44EF"/>
    <w:rsid w:val="647924D6"/>
    <w:rsid w:val="649C1C73"/>
    <w:rsid w:val="64C87DFC"/>
    <w:rsid w:val="65013986"/>
    <w:rsid w:val="651D7306"/>
    <w:rsid w:val="655E5A5D"/>
    <w:rsid w:val="65686DEA"/>
    <w:rsid w:val="6569254B"/>
    <w:rsid w:val="65A97358"/>
    <w:rsid w:val="65C079F5"/>
    <w:rsid w:val="65C34141"/>
    <w:rsid w:val="65FF44E4"/>
    <w:rsid w:val="664D7720"/>
    <w:rsid w:val="66602505"/>
    <w:rsid w:val="66881C3A"/>
    <w:rsid w:val="669D667C"/>
    <w:rsid w:val="66A4641A"/>
    <w:rsid w:val="66AC22EB"/>
    <w:rsid w:val="66B32D0E"/>
    <w:rsid w:val="66EF615C"/>
    <w:rsid w:val="66F87AF2"/>
    <w:rsid w:val="66FB2888"/>
    <w:rsid w:val="671F5A7E"/>
    <w:rsid w:val="673D6CF1"/>
    <w:rsid w:val="674E33E1"/>
    <w:rsid w:val="676B53E2"/>
    <w:rsid w:val="678D2498"/>
    <w:rsid w:val="67A22870"/>
    <w:rsid w:val="67C90AD8"/>
    <w:rsid w:val="67CF161A"/>
    <w:rsid w:val="67DE60B9"/>
    <w:rsid w:val="67E64B19"/>
    <w:rsid w:val="680D513E"/>
    <w:rsid w:val="6810486F"/>
    <w:rsid w:val="68175350"/>
    <w:rsid w:val="681B196F"/>
    <w:rsid w:val="68245B02"/>
    <w:rsid w:val="68362559"/>
    <w:rsid w:val="68381639"/>
    <w:rsid w:val="6849089E"/>
    <w:rsid w:val="68593F88"/>
    <w:rsid w:val="688F0704"/>
    <w:rsid w:val="68CB57BB"/>
    <w:rsid w:val="68E6495E"/>
    <w:rsid w:val="696679A9"/>
    <w:rsid w:val="698F7443"/>
    <w:rsid w:val="699544B7"/>
    <w:rsid w:val="69B0235F"/>
    <w:rsid w:val="69C74675"/>
    <w:rsid w:val="69F1518D"/>
    <w:rsid w:val="6A1E4F4B"/>
    <w:rsid w:val="6A2170CD"/>
    <w:rsid w:val="6A3E0687"/>
    <w:rsid w:val="6A5E4B15"/>
    <w:rsid w:val="6A7D30C3"/>
    <w:rsid w:val="6A9B7C60"/>
    <w:rsid w:val="6AB6721B"/>
    <w:rsid w:val="6AE75A23"/>
    <w:rsid w:val="6AEE616C"/>
    <w:rsid w:val="6AF4593A"/>
    <w:rsid w:val="6AF852E2"/>
    <w:rsid w:val="6B05040A"/>
    <w:rsid w:val="6B362ECF"/>
    <w:rsid w:val="6B5B119E"/>
    <w:rsid w:val="6BAF786C"/>
    <w:rsid w:val="6BF947B3"/>
    <w:rsid w:val="6C042FCD"/>
    <w:rsid w:val="6C3203B3"/>
    <w:rsid w:val="6C4008C1"/>
    <w:rsid w:val="6C4111BF"/>
    <w:rsid w:val="6C5052AC"/>
    <w:rsid w:val="6C515AE7"/>
    <w:rsid w:val="6CA4093B"/>
    <w:rsid w:val="6CAD2046"/>
    <w:rsid w:val="6D1F32B4"/>
    <w:rsid w:val="6D47374B"/>
    <w:rsid w:val="6D6454CA"/>
    <w:rsid w:val="6D7C6812"/>
    <w:rsid w:val="6D8A7D2A"/>
    <w:rsid w:val="6D911BF5"/>
    <w:rsid w:val="6DA812FB"/>
    <w:rsid w:val="6DAB7840"/>
    <w:rsid w:val="6DB564FA"/>
    <w:rsid w:val="6E274A76"/>
    <w:rsid w:val="6E36026A"/>
    <w:rsid w:val="6E3E61D7"/>
    <w:rsid w:val="6E3F16C2"/>
    <w:rsid w:val="6E4853BF"/>
    <w:rsid w:val="6E4B4CD1"/>
    <w:rsid w:val="6E5659F0"/>
    <w:rsid w:val="6E680ADB"/>
    <w:rsid w:val="6E6A2902"/>
    <w:rsid w:val="6EB71CAA"/>
    <w:rsid w:val="6F0B00E2"/>
    <w:rsid w:val="6F7B6A60"/>
    <w:rsid w:val="6FB2048E"/>
    <w:rsid w:val="6FD9549F"/>
    <w:rsid w:val="700341F3"/>
    <w:rsid w:val="700F5226"/>
    <w:rsid w:val="70376E33"/>
    <w:rsid w:val="704859CA"/>
    <w:rsid w:val="70541BE7"/>
    <w:rsid w:val="7074409A"/>
    <w:rsid w:val="708C4045"/>
    <w:rsid w:val="709A37B7"/>
    <w:rsid w:val="70A11E28"/>
    <w:rsid w:val="70D72AC6"/>
    <w:rsid w:val="70FF2CB7"/>
    <w:rsid w:val="71006415"/>
    <w:rsid w:val="71077FC1"/>
    <w:rsid w:val="714868E6"/>
    <w:rsid w:val="7158090D"/>
    <w:rsid w:val="719779F9"/>
    <w:rsid w:val="71D827C2"/>
    <w:rsid w:val="71E9580E"/>
    <w:rsid w:val="722D6FDC"/>
    <w:rsid w:val="727C44BA"/>
    <w:rsid w:val="72BC0718"/>
    <w:rsid w:val="72C241FB"/>
    <w:rsid w:val="72C37FAA"/>
    <w:rsid w:val="72C566E4"/>
    <w:rsid w:val="72CC71A4"/>
    <w:rsid w:val="72E52E62"/>
    <w:rsid w:val="72EE4B5D"/>
    <w:rsid w:val="73025D8D"/>
    <w:rsid w:val="73116D41"/>
    <w:rsid w:val="73336DFB"/>
    <w:rsid w:val="736E265C"/>
    <w:rsid w:val="739060D5"/>
    <w:rsid w:val="73940DD8"/>
    <w:rsid w:val="73B9774C"/>
    <w:rsid w:val="73C339C8"/>
    <w:rsid w:val="73C85A05"/>
    <w:rsid w:val="73F310C6"/>
    <w:rsid w:val="73F901F7"/>
    <w:rsid w:val="744944D8"/>
    <w:rsid w:val="744D003E"/>
    <w:rsid w:val="74575B16"/>
    <w:rsid w:val="745B01A9"/>
    <w:rsid w:val="748919EE"/>
    <w:rsid w:val="748B2356"/>
    <w:rsid w:val="748B5762"/>
    <w:rsid w:val="74936FCE"/>
    <w:rsid w:val="74CA0AFD"/>
    <w:rsid w:val="74E346CE"/>
    <w:rsid w:val="751C7938"/>
    <w:rsid w:val="752A354F"/>
    <w:rsid w:val="754A0E2A"/>
    <w:rsid w:val="759304A0"/>
    <w:rsid w:val="75BE1820"/>
    <w:rsid w:val="75C867DC"/>
    <w:rsid w:val="76202A8E"/>
    <w:rsid w:val="768076F4"/>
    <w:rsid w:val="76B27B98"/>
    <w:rsid w:val="76D041E9"/>
    <w:rsid w:val="76D93330"/>
    <w:rsid w:val="76DA1CE6"/>
    <w:rsid w:val="76ED2463"/>
    <w:rsid w:val="76F811C0"/>
    <w:rsid w:val="77122AB8"/>
    <w:rsid w:val="77140F74"/>
    <w:rsid w:val="771D6F6E"/>
    <w:rsid w:val="772F6053"/>
    <w:rsid w:val="77352DBB"/>
    <w:rsid w:val="779A2A38"/>
    <w:rsid w:val="779E3DF5"/>
    <w:rsid w:val="77B31901"/>
    <w:rsid w:val="77B33DF7"/>
    <w:rsid w:val="77FB4475"/>
    <w:rsid w:val="781E7688"/>
    <w:rsid w:val="78582462"/>
    <w:rsid w:val="78B93B69"/>
    <w:rsid w:val="78D478FA"/>
    <w:rsid w:val="78D814FD"/>
    <w:rsid w:val="78FD783C"/>
    <w:rsid w:val="793F73F3"/>
    <w:rsid w:val="7954379C"/>
    <w:rsid w:val="795E4598"/>
    <w:rsid w:val="797121DB"/>
    <w:rsid w:val="79967414"/>
    <w:rsid w:val="79B15B7A"/>
    <w:rsid w:val="79C702C7"/>
    <w:rsid w:val="79DF3A12"/>
    <w:rsid w:val="7A41190A"/>
    <w:rsid w:val="7A6B2AF7"/>
    <w:rsid w:val="7A6D4434"/>
    <w:rsid w:val="7A6E0DC8"/>
    <w:rsid w:val="7A6E7077"/>
    <w:rsid w:val="7A762ED2"/>
    <w:rsid w:val="7A8552D9"/>
    <w:rsid w:val="7ABF5477"/>
    <w:rsid w:val="7AF46434"/>
    <w:rsid w:val="7B084037"/>
    <w:rsid w:val="7B207799"/>
    <w:rsid w:val="7B27327D"/>
    <w:rsid w:val="7B493318"/>
    <w:rsid w:val="7B667231"/>
    <w:rsid w:val="7BFC12EF"/>
    <w:rsid w:val="7C237DDD"/>
    <w:rsid w:val="7CE21868"/>
    <w:rsid w:val="7CFA524C"/>
    <w:rsid w:val="7D045C04"/>
    <w:rsid w:val="7D29029B"/>
    <w:rsid w:val="7D7B700A"/>
    <w:rsid w:val="7D851B6A"/>
    <w:rsid w:val="7E2068E1"/>
    <w:rsid w:val="7E315D7C"/>
    <w:rsid w:val="7E465EF4"/>
    <w:rsid w:val="7E4943B5"/>
    <w:rsid w:val="7E50006B"/>
    <w:rsid w:val="7E693D36"/>
    <w:rsid w:val="7E711328"/>
    <w:rsid w:val="7EBF170E"/>
    <w:rsid w:val="7EF221FF"/>
    <w:rsid w:val="7EFD53E9"/>
    <w:rsid w:val="7F137BFD"/>
    <w:rsid w:val="7F1563CB"/>
    <w:rsid w:val="7F220428"/>
    <w:rsid w:val="7F4C6E9A"/>
    <w:rsid w:val="7F5931D8"/>
    <w:rsid w:val="7F760065"/>
    <w:rsid w:val="7FA52266"/>
    <w:rsid w:val="7FC636C9"/>
    <w:rsid w:val="7FF060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MT Extra" w:hAnsi="MT Extra" w:eastAsia="宋体" w:cs="MT Extra"/>
      <w:kern w:val="2"/>
      <w:sz w:val="21"/>
      <w:szCs w:val="24"/>
      <w:lang w:val="en-US" w:eastAsia="zh-CN" w:bidi="ar-SA"/>
    </w:rPr>
  </w:style>
  <w:style w:type="paragraph" w:styleId="2">
    <w:name w:val="heading 1"/>
    <w:basedOn w:val="1"/>
    <w:next w:val="1"/>
    <w:link w:val="17"/>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3"/>
    <w:basedOn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12">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ind w:left="100" w:leftChars="2500"/>
    </w:p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footnote text"/>
    <w:basedOn w:val="1"/>
    <w:unhideWhenUsed/>
    <w:qFormat/>
    <w:uiPriority w:val="99"/>
    <w:pPr>
      <w:snapToGrid w:val="0"/>
    </w:pPr>
    <w:rPr>
      <w:sz w:val="18"/>
      <w:szCs w:val="18"/>
    </w:rPr>
  </w:style>
  <w:style w:type="paragraph" w:styleId="9">
    <w:name w:val="Normal (Web)"/>
    <w:basedOn w:val="1"/>
    <w:link w:val="18"/>
    <w:qFormat/>
    <w:uiPriority w:val="0"/>
    <w:pPr>
      <w:widowControl/>
      <w:jc w:val="left"/>
    </w:pPr>
    <w:rPr>
      <w:rFonts w:ascii="宋体" w:hAnsi="宋体" w:cs="宋体"/>
      <w:kern w:val="0"/>
      <w:sz w:val="24"/>
    </w:rPr>
  </w:style>
  <w:style w:type="table" w:styleId="11">
    <w:name w:val="Table Grid"/>
    <w:basedOn w:val="10"/>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page number"/>
    <w:basedOn w:val="12"/>
    <w:qFormat/>
    <w:uiPriority w:val="0"/>
    <w:rPr>
      <w:rFonts w:cs="Times New Roman"/>
    </w:rPr>
  </w:style>
  <w:style w:type="character" w:styleId="15">
    <w:name w:val="Hyperlink"/>
    <w:basedOn w:val="12"/>
    <w:qFormat/>
    <w:uiPriority w:val="0"/>
    <w:rPr>
      <w:color w:val="0000FF"/>
      <w:u w:val="single"/>
    </w:rPr>
  </w:style>
  <w:style w:type="character" w:styleId="16">
    <w:name w:val="footnote reference"/>
    <w:basedOn w:val="12"/>
    <w:unhideWhenUsed/>
    <w:qFormat/>
    <w:uiPriority w:val="99"/>
    <w:rPr>
      <w:vertAlign w:val="superscript"/>
    </w:rPr>
  </w:style>
  <w:style w:type="character" w:customStyle="1" w:styleId="17">
    <w:name w:val="标题 1 Char"/>
    <w:link w:val="2"/>
    <w:qFormat/>
    <w:uiPriority w:val="0"/>
    <w:rPr>
      <w:rFonts w:hint="eastAsia" w:ascii="宋体" w:hAnsi="宋体" w:eastAsia="宋体" w:cs="宋体"/>
      <w:b/>
      <w:kern w:val="44"/>
      <w:sz w:val="48"/>
      <w:szCs w:val="48"/>
      <w:lang w:val="en-US" w:eastAsia="zh-CN" w:bidi="ar"/>
    </w:rPr>
  </w:style>
  <w:style w:type="character" w:customStyle="1" w:styleId="18">
    <w:name w:val="普通(网站) Char"/>
    <w:link w:val="9"/>
    <w:qFormat/>
    <w:uiPriority w:val="0"/>
    <w:rPr>
      <w:rFonts w:ascii="宋体" w:hAnsi="宋体" w:cs="宋体"/>
      <w:kern w:val="0"/>
      <w:sz w:val="24"/>
    </w:rPr>
  </w:style>
  <w:style w:type="paragraph" w:customStyle="1" w:styleId="19">
    <w:name w:val="Char"/>
    <w:basedOn w:val="1"/>
    <w:qFormat/>
    <w:uiPriority w:val="0"/>
    <w:rPr>
      <w:rFonts w:ascii="Times New Roman" w:hAnsi="Times New Roman" w:cs="Times New Roman"/>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paragraph" w:customStyle="1" w:styleId="23">
    <w:name w:val="正文-公1"/>
    <w:basedOn w:val="1"/>
    <w:next w:val="1"/>
    <w:qFormat/>
    <w:uiPriority w:val="0"/>
    <w:pPr>
      <w:ind w:firstLine="200" w:firstLineChars="200"/>
      <w:jc w:val="left"/>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4551</Words>
  <Characters>4695</Characters>
  <Lines>29</Lines>
  <Paragraphs>8</Paragraphs>
  <TotalTime>8</TotalTime>
  <ScaleCrop>false</ScaleCrop>
  <LinksUpToDate>false</LinksUpToDate>
  <CharactersWithSpaces>4736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2019-06-03T05:05:00Z</dcterms:created>
  <dc:creator>微软用户</dc:creator>
  <cp:lastModifiedBy>广来</cp:lastModifiedBy>
  <cp:lastPrinted>2026-02-24T01:19:00Z</cp:lastPrinted>
  <dcterms:modified xsi:type="dcterms:W3CDTF">2026-02-25T07:36:56Z</dcterms:modified>
  <dc:title>抚顺亿龙化工有限公司“1.11”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E1BAA6AC258845BBA0A7EF9C3053FAF9_13</vt:lpwstr>
  </property>
  <property fmtid="{D5CDD505-2E9C-101B-9397-08002B2CF9AE}" pid="4" name="KSOTemplateDocerSaveRecord">
    <vt:lpwstr>eyJoZGlkIjoiMTY3MzY4ZjZlYjMzOTllMzU0NGNkNmY2N2VhMDQ5NDkiLCJ1c2VySWQiOiIzNTAwNTI1NDgifQ==</vt:lpwstr>
  </property>
</Properties>
</file>