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1CAC8">
      <w:pPr>
        <w:adjustRightInd w:val="0"/>
        <w:snapToGrid w:val="0"/>
        <w:jc w:val="center"/>
        <w:rPr>
          <w:rFonts w:ascii="宋体" w:hAnsi="宋体" w:eastAsia="宋体"/>
          <w:b/>
          <w:sz w:val="44"/>
          <w:szCs w:val="44"/>
        </w:rPr>
      </w:pPr>
      <w:r>
        <w:rPr>
          <w:rFonts w:hint="eastAsia" w:ascii="宋体" w:hAnsi="宋体" w:eastAsia="宋体"/>
          <w:b/>
          <w:sz w:val="44"/>
          <w:szCs w:val="44"/>
        </w:rPr>
        <w:t>抚顺特殊钢股份有限公司“10·6”</w:t>
      </w:r>
    </w:p>
    <w:p w14:paraId="3E4489DF">
      <w:pPr>
        <w:adjustRightInd w:val="0"/>
        <w:snapToGrid w:val="0"/>
        <w:jc w:val="center"/>
        <w:rPr>
          <w:rFonts w:ascii="宋体" w:hAnsi="宋体" w:eastAsia="宋体" w:cs="宋体"/>
          <w:b/>
          <w:bCs/>
          <w:sz w:val="44"/>
          <w:szCs w:val="44"/>
        </w:rPr>
      </w:pPr>
      <w:r>
        <w:rPr>
          <w:rFonts w:hint="eastAsia" w:ascii="宋体" w:hAnsi="宋体" w:eastAsia="宋体"/>
          <w:b/>
          <w:sz w:val="44"/>
          <w:szCs w:val="44"/>
        </w:rPr>
        <w:t>一般高处坠落事故</w:t>
      </w:r>
      <w:r>
        <w:rPr>
          <w:rFonts w:hint="eastAsia" w:ascii="宋体" w:hAnsi="宋体" w:eastAsia="宋体" w:cs="宋体"/>
          <w:b/>
          <w:bCs/>
          <w:sz w:val="44"/>
          <w:szCs w:val="44"/>
        </w:rPr>
        <w:t>评估报告</w:t>
      </w:r>
    </w:p>
    <w:p w14:paraId="42D7E930">
      <w:pPr>
        <w:pStyle w:val="5"/>
        <w:rPr>
          <w:rFonts w:ascii="宋体" w:hAnsi="宋体" w:eastAsia="宋体" w:cs="宋体"/>
          <w:b/>
          <w:bCs/>
          <w:sz w:val="44"/>
          <w:szCs w:val="44"/>
        </w:rPr>
      </w:pPr>
    </w:p>
    <w:p w14:paraId="41D99C14">
      <w:pPr>
        <w:spacing w:line="360" w:lineRule="auto"/>
        <w:ind w:left="59" w:firstLine="640"/>
        <w:rPr>
          <w:rFonts w:ascii="仿宋" w:hAnsi="仿宋" w:eastAsia="仿宋" w:cs="仿宋"/>
          <w:sz w:val="32"/>
          <w:szCs w:val="32"/>
        </w:rPr>
      </w:pPr>
      <w:r>
        <w:rPr>
          <w:rFonts w:hint="eastAsia" w:ascii="仿宋" w:hAnsi="仿宋" w:eastAsia="仿宋" w:cs="仿宋"/>
          <w:sz w:val="32"/>
          <w:szCs w:val="32"/>
        </w:rPr>
        <w:t>依据</w:t>
      </w:r>
      <w:r>
        <w:rPr>
          <w:rFonts w:hint="eastAsia" w:ascii="仿宋" w:hAnsi="仿宋" w:eastAsia="仿宋" w:cs="仿宋"/>
          <w:bCs/>
          <w:kern w:val="0"/>
          <w:sz w:val="32"/>
          <w:szCs w:val="32"/>
        </w:rPr>
        <w:t>《生产安全事故整改和防范措施落实情况评估</w:t>
      </w:r>
      <w:r>
        <w:rPr>
          <w:rFonts w:hint="eastAsia" w:ascii="仿宋" w:hAnsi="仿宋" w:eastAsia="仿宋" w:cs="仿宋"/>
          <w:sz w:val="32"/>
          <w:szCs w:val="32"/>
        </w:rPr>
        <w:t>办法》，抚顺市政府组成了</w:t>
      </w:r>
      <w:r>
        <w:rPr>
          <w:rFonts w:hint="eastAsia" w:ascii="仿宋" w:hAnsi="仿宋" w:eastAsia="仿宋" w:cs="仿宋"/>
          <w:kern w:val="1"/>
          <w:sz w:val="32"/>
          <w:szCs w:val="32"/>
        </w:rPr>
        <w:t>由市应急局牵头，市公安局、市总工会有关同志参加的</w:t>
      </w:r>
      <w:r>
        <w:rPr>
          <w:rFonts w:hint="eastAsia" w:ascii="仿宋" w:hAnsi="仿宋" w:eastAsia="仿宋" w:cs="仿宋"/>
          <w:sz w:val="32"/>
          <w:szCs w:val="32"/>
        </w:rPr>
        <w:t>抚顺特殊钢股份有限公司“10·6”一般高处坠落事故</w:t>
      </w:r>
      <w:r>
        <w:rPr>
          <w:rFonts w:hint="eastAsia" w:ascii="仿宋" w:hAnsi="仿宋" w:eastAsia="仿宋" w:cs="仿宋"/>
          <w:kern w:val="1"/>
          <w:sz w:val="32"/>
          <w:szCs w:val="32"/>
        </w:rPr>
        <w:t>评估组（以下简称“评估组”），开展了评估</w:t>
      </w:r>
      <w:r>
        <w:rPr>
          <w:rFonts w:hint="eastAsia" w:ascii="仿宋" w:hAnsi="仿宋" w:eastAsia="仿宋" w:cs="仿宋"/>
          <w:sz w:val="32"/>
          <w:szCs w:val="32"/>
        </w:rPr>
        <w:t xml:space="preserve">工作。   </w:t>
      </w:r>
    </w:p>
    <w:p w14:paraId="21B65533">
      <w:pPr>
        <w:spacing w:line="360" w:lineRule="auto"/>
        <w:ind w:left="59" w:firstLine="640"/>
        <w:rPr>
          <w:rFonts w:ascii="仿宋" w:hAnsi="仿宋" w:eastAsia="仿宋" w:cs="仿宋"/>
          <w:sz w:val="32"/>
          <w:szCs w:val="32"/>
        </w:rPr>
      </w:pPr>
      <w:r>
        <w:rPr>
          <w:rFonts w:hint="eastAsia" w:ascii="仿宋" w:hAnsi="仿宋" w:eastAsia="仿宋" w:cs="仿宋"/>
          <w:kern w:val="0"/>
          <w:sz w:val="32"/>
          <w:szCs w:val="32"/>
        </w:rPr>
        <w:t>评估内容包括：（一）事故发生单位、相关企业和有关政府、部门落实事故整改和防范措施采取的具体举措以及工作成效；树牢安全发展理念，健全安全生产责任制，吸取事故教训，举一反三加强安全生产工作情况；（二）对事故责任单位和责任人员行政处罚建议等落实情况。评估工作已结束，</w:t>
      </w:r>
      <w:r>
        <w:rPr>
          <w:rFonts w:hint="eastAsia" w:ascii="仿宋" w:hAnsi="仿宋" w:eastAsia="仿宋" w:cs="仿宋"/>
          <w:sz w:val="32"/>
          <w:szCs w:val="32"/>
        </w:rPr>
        <w:t>现将评估情况报告如下：</w:t>
      </w:r>
    </w:p>
    <w:p w14:paraId="7B8A6BB5">
      <w:pPr>
        <w:numPr>
          <w:ilvl w:val="0"/>
          <w:numId w:val="1"/>
        </w:numPr>
        <w:spacing w:line="360" w:lineRule="auto"/>
        <w:ind w:firstLine="640" w:firstLineChars="200"/>
        <w:jc w:val="left"/>
        <w:rPr>
          <w:rFonts w:ascii="黑体" w:hAnsi="黑体" w:eastAsia="黑体"/>
          <w:sz w:val="32"/>
          <w:szCs w:val="32"/>
        </w:rPr>
      </w:pPr>
      <w:r>
        <w:rPr>
          <w:rFonts w:hint="eastAsia" w:ascii="黑体" w:hAnsi="黑体" w:eastAsia="黑体"/>
          <w:sz w:val="32"/>
          <w:szCs w:val="32"/>
        </w:rPr>
        <w:t>事故及事故结案批复情况</w:t>
      </w:r>
    </w:p>
    <w:p w14:paraId="4811666D">
      <w:pPr>
        <w:spacing w:line="360" w:lineRule="auto"/>
        <w:ind w:firstLine="643" w:firstLineChars="200"/>
        <w:jc w:val="left"/>
        <w:rPr>
          <w:rFonts w:ascii="楷体" w:hAnsi="楷体" w:eastAsia="楷体"/>
          <w:b/>
          <w:bCs/>
          <w:sz w:val="32"/>
          <w:szCs w:val="32"/>
        </w:rPr>
      </w:pPr>
      <w:r>
        <w:rPr>
          <w:rFonts w:hint="eastAsia" w:ascii="楷体" w:hAnsi="楷体" w:eastAsia="楷体"/>
          <w:b/>
          <w:bCs/>
          <w:sz w:val="32"/>
          <w:szCs w:val="32"/>
        </w:rPr>
        <w:t>（一）事故情况</w:t>
      </w:r>
    </w:p>
    <w:p w14:paraId="0CE21632">
      <w:pPr>
        <w:spacing w:line="360" w:lineRule="auto"/>
        <w:ind w:left="59" w:firstLine="640"/>
        <w:rPr>
          <w:rFonts w:ascii="仿宋" w:hAnsi="仿宋" w:eastAsia="仿宋" w:cs="仿宋"/>
          <w:sz w:val="32"/>
          <w:szCs w:val="32"/>
        </w:rPr>
      </w:pPr>
      <w:r>
        <w:rPr>
          <w:rFonts w:hint="eastAsia" w:ascii="仿宋" w:hAnsi="仿宋" w:eastAsia="仿宋" w:cs="仿宋"/>
          <w:sz w:val="32"/>
          <w:szCs w:val="32"/>
        </w:rPr>
        <w:t>2022年10月6日1时40分许，在抚顺特殊钢股份有限公司第一轧钢厂精轧连续炉厂房内，一名桥式起重机吊车工在从起重机梯台入口处进入起重机驾驶室过程中，发生一起高处坠落死亡事故，造成1人死亡，直接经济损失约97万元。</w:t>
      </w:r>
    </w:p>
    <w:p w14:paraId="57A3C2FF">
      <w:pPr>
        <w:spacing w:line="360" w:lineRule="auto"/>
        <w:ind w:left="59" w:firstLine="640"/>
        <w:rPr>
          <w:rFonts w:ascii="仿宋" w:hAnsi="仿宋" w:eastAsia="仿宋" w:cs="仿宋"/>
          <w:sz w:val="32"/>
          <w:szCs w:val="32"/>
        </w:rPr>
      </w:pPr>
      <w:r>
        <w:rPr>
          <w:rFonts w:hint="eastAsia" w:ascii="仿宋" w:hAnsi="仿宋" w:eastAsia="仿宋" w:cs="仿宋"/>
          <w:sz w:val="32"/>
          <w:szCs w:val="32"/>
        </w:rPr>
        <w:t xml:space="preserve">事故发生后，市应急局人员及时赶赴事故现场处置。依据相关法律法规，市政府成立了以市应急局牵头，市公安局、市总工会组成的抚顺特殊钢股份有限公司“10·6”一般高处坠落事故调查组，形成了事故调查报告，并报市政府批复。   </w:t>
      </w:r>
    </w:p>
    <w:p w14:paraId="5F5EC31E">
      <w:pPr>
        <w:ind w:firstLine="643" w:firstLineChars="200"/>
        <w:rPr>
          <w:rFonts w:ascii="楷体" w:hAnsi="楷体" w:eastAsia="楷体"/>
          <w:b/>
          <w:bCs/>
          <w:kern w:val="0"/>
          <w:sz w:val="32"/>
          <w:szCs w:val="32"/>
        </w:rPr>
      </w:pPr>
      <w:r>
        <w:rPr>
          <w:rFonts w:hint="eastAsia" w:ascii="楷体" w:hAnsi="楷体" w:eastAsia="楷体"/>
          <w:b/>
          <w:bCs/>
          <w:kern w:val="0"/>
          <w:sz w:val="32"/>
          <w:szCs w:val="32"/>
        </w:rPr>
        <w:t>（二）结案批复情况</w:t>
      </w:r>
    </w:p>
    <w:p w14:paraId="560BE473">
      <w:pPr>
        <w:spacing w:line="360" w:lineRule="auto"/>
        <w:ind w:left="59" w:firstLine="640"/>
        <w:rPr>
          <w:rFonts w:ascii="仿宋" w:hAnsi="仿宋" w:eastAsia="仿宋" w:cs="仿宋"/>
          <w:sz w:val="32"/>
          <w:szCs w:val="32"/>
        </w:rPr>
      </w:pPr>
      <w:r>
        <w:rPr>
          <w:rFonts w:hint="eastAsia" w:ascii="仿宋" w:hAnsi="仿宋" w:eastAsia="仿宋" w:cs="仿宋"/>
          <w:sz w:val="32"/>
          <w:szCs w:val="32"/>
        </w:rPr>
        <w:t>市政府收到事故调查组提交的事故调查报告，于 2022年12 月30日依法对事故调查报告进行了批复，同意事故调查报告内容及处理建议。</w:t>
      </w:r>
    </w:p>
    <w:p w14:paraId="0AA6C448">
      <w:pPr>
        <w:ind w:firstLine="640" w:firstLineChars="200"/>
        <w:rPr>
          <w:rFonts w:ascii="黑体" w:hAnsi="黑体" w:eastAsia="黑体"/>
          <w:kern w:val="0"/>
          <w:sz w:val="32"/>
          <w:szCs w:val="32"/>
        </w:rPr>
      </w:pPr>
      <w:r>
        <w:rPr>
          <w:rFonts w:hint="eastAsia" w:ascii="黑体" w:hAnsi="黑体" w:eastAsia="黑体"/>
          <w:kern w:val="0"/>
          <w:sz w:val="32"/>
          <w:szCs w:val="32"/>
        </w:rPr>
        <w:t>二、事故评估情况</w:t>
      </w:r>
    </w:p>
    <w:p w14:paraId="6FFAAADF">
      <w:pPr>
        <w:ind w:firstLine="643" w:firstLineChars="200"/>
        <w:rPr>
          <w:rFonts w:ascii="楷体" w:hAnsi="楷体" w:eastAsia="楷体"/>
          <w:b/>
          <w:bCs/>
          <w:kern w:val="0"/>
          <w:sz w:val="32"/>
          <w:szCs w:val="32"/>
        </w:rPr>
      </w:pPr>
      <w:r>
        <w:rPr>
          <w:rFonts w:hint="eastAsia" w:ascii="楷体" w:hAnsi="楷体" w:eastAsia="楷体"/>
          <w:b/>
          <w:bCs/>
          <w:kern w:val="0"/>
          <w:sz w:val="32"/>
          <w:szCs w:val="32"/>
        </w:rPr>
        <w:t>（一）</w:t>
      </w:r>
      <w:r>
        <w:rPr>
          <w:rFonts w:hint="eastAsia" w:ascii="楷体" w:hAnsi="楷体" w:eastAsia="楷体" w:cs="Arial"/>
          <w:b/>
          <w:bCs/>
          <w:kern w:val="0"/>
          <w:sz w:val="32"/>
          <w:szCs w:val="32"/>
        </w:rPr>
        <w:t>事故责任单位、责任人员处理建议落实情况</w:t>
      </w:r>
    </w:p>
    <w:p w14:paraId="7188FEF5">
      <w:pPr>
        <w:spacing w:line="360" w:lineRule="auto"/>
        <w:ind w:left="59" w:firstLine="640"/>
        <w:rPr>
          <w:rFonts w:ascii="仿宋" w:hAnsi="仿宋" w:eastAsia="仿宋" w:cs="仿宋"/>
          <w:sz w:val="32"/>
          <w:szCs w:val="32"/>
        </w:rPr>
      </w:pPr>
      <w:r>
        <w:rPr>
          <w:rFonts w:hint="eastAsia" w:ascii="仿宋" w:hAnsi="仿宋" w:eastAsia="仿宋" w:cs="仿宋"/>
          <w:sz w:val="32"/>
          <w:szCs w:val="32"/>
        </w:rPr>
        <w:t>市应急局依据《抚顺市人民政府关于对抚顺特殊钢股份有限公司“10·6”一般高处坠落事故调查报告的批复》（抚政〔2022〕125号），进行行政处罚立案，对抚顺特钢公司处45万元罚款，对抚顺特钢公司法定代表人、董事长龚盛按照上一年年收入百分之四十处11.64万元罚款，对其余3位事故责任人员均按照上一年年收入百分之二十</w:t>
      </w:r>
      <w:r>
        <w:rPr>
          <w:rFonts w:hint="eastAsia" w:ascii="仿宋" w:hAnsi="仿宋" w:eastAsia="仿宋" w:cs="仿宋"/>
          <w:sz w:val="32"/>
          <w:szCs w:val="32"/>
          <w:lang w:eastAsia="zh-CN"/>
        </w:rPr>
        <w:t>给予</w:t>
      </w:r>
      <w:bookmarkStart w:id="0" w:name="_GoBack"/>
      <w:bookmarkEnd w:id="0"/>
      <w:r>
        <w:rPr>
          <w:rFonts w:hint="eastAsia" w:ascii="仿宋" w:hAnsi="仿宋" w:eastAsia="仿宋" w:cs="仿宋"/>
          <w:sz w:val="32"/>
          <w:szCs w:val="32"/>
        </w:rPr>
        <w:t>了罚款，上述罚款均已上缴市财政。</w:t>
      </w:r>
    </w:p>
    <w:p w14:paraId="6F836802">
      <w:pPr>
        <w:ind w:firstLine="643" w:firstLineChars="200"/>
        <w:rPr>
          <w:rFonts w:ascii="楷体" w:hAnsi="楷体" w:eastAsia="楷体"/>
          <w:b/>
          <w:bCs/>
          <w:sz w:val="32"/>
          <w:szCs w:val="32"/>
        </w:rPr>
      </w:pPr>
      <w:r>
        <w:rPr>
          <w:rFonts w:hint="eastAsia" w:ascii="楷体" w:hAnsi="楷体" w:eastAsia="楷体"/>
          <w:b/>
          <w:bCs/>
          <w:kern w:val="0"/>
          <w:sz w:val="32"/>
          <w:szCs w:val="32"/>
        </w:rPr>
        <w:t>（二）</w:t>
      </w:r>
      <w:r>
        <w:rPr>
          <w:rFonts w:hint="eastAsia" w:ascii="楷体" w:hAnsi="楷体" w:eastAsia="楷体"/>
          <w:b/>
          <w:bCs/>
          <w:sz w:val="32"/>
          <w:szCs w:val="32"/>
        </w:rPr>
        <w:t>事故整改和防范措施落实情况</w:t>
      </w:r>
    </w:p>
    <w:p w14:paraId="44F6B9DA">
      <w:pPr>
        <w:ind w:firstLine="643" w:firstLineChars="200"/>
        <w:rPr>
          <w:rFonts w:ascii="仿宋" w:hAnsi="仿宋" w:eastAsia="仿宋" w:cs="仿宋"/>
          <w:b/>
          <w:sz w:val="32"/>
          <w:szCs w:val="32"/>
        </w:rPr>
      </w:pPr>
      <w:r>
        <w:rPr>
          <w:rFonts w:hint="eastAsia" w:ascii="仿宋" w:hAnsi="仿宋" w:eastAsia="仿宋" w:cs="仿宋"/>
          <w:b/>
          <w:sz w:val="32"/>
          <w:szCs w:val="32"/>
        </w:rPr>
        <w:t>1.事故调查报告提出事故整改和防范措施</w:t>
      </w:r>
    </w:p>
    <w:p w14:paraId="58595C0A">
      <w:pPr>
        <w:spacing w:line="360" w:lineRule="auto"/>
        <w:ind w:left="59" w:firstLine="640"/>
        <w:rPr>
          <w:rFonts w:ascii="仿宋" w:hAnsi="仿宋" w:eastAsia="仿宋" w:cs="仿宋"/>
          <w:sz w:val="32"/>
          <w:szCs w:val="32"/>
        </w:rPr>
      </w:pPr>
      <w:r>
        <w:rPr>
          <w:rFonts w:hint="eastAsia" w:ascii="仿宋" w:hAnsi="仿宋" w:eastAsia="仿宋" w:cs="仿宋"/>
          <w:sz w:val="32"/>
          <w:szCs w:val="32"/>
        </w:rPr>
        <w:t>一是完善吊车安全技术操作规程，对吊车遥控器使用进一步作出明确规定，做到从业人员有章可循，保证安全作业。</w:t>
      </w:r>
    </w:p>
    <w:p w14:paraId="15B7C5CC">
      <w:pPr>
        <w:spacing w:line="360" w:lineRule="auto"/>
        <w:ind w:left="59" w:firstLine="640"/>
        <w:rPr>
          <w:rFonts w:ascii="仿宋" w:hAnsi="仿宋" w:eastAsia="仿宋" w:cs="仿宋"/>
          <w:sz w:val="32"/>
          <w:szCs w:val="32"/>
        </w:rPr>
      </w:pPr>
      <w:r>
        <w:rPr>
          <w:rFonts w:hint="eastAsia" w:ascii="仿宋" w:hAnsi="仿宋" w:eastAsia="仿宋" w:cs="仿宋"/>
          <w:sz w:val="32"/>
          <w:szCs w:val="32"/>
        </w:rPr>
        <w:t>二是全面开展安全生产管理规定、安全生产操作规程落实专项检查工作，加大夜间工作检查，对违章违规行为严厉查处。教育引导从业人员遵章守纪，服从管理。</w:t>
      </w:r>
    </w:p>
    <w:p w14:paraId="3911E9A0">
      <w:pPr>
        <w:spacing w:line="360" w:lineRule="auto"/>
        <w:ind w:left="59" w:firstLine="640"/>
        <w:rPr>
          <w:rFonts w:ascii="仿宋" w:hAnsi="仿宋" w:eastAsia="仿宋" w:cs="仿宋"/>
          <w:sz w:val="32"/>
          <w:szCs w:val="32"/>
        </w:rPr>
      </w:pPr>
      <w:r>
        <w:rPr>
          <w:rFonts w:hint="eastAsia" w:ascii="仿宋" w:hAnsi="仿宋" w:eastAsia="仿宋" w:cs="仿宋"/>
          <w:sz w:val="32"/>
          <w:szCs w:val="32"/>
        </w:rPr>
        <w:t>三是加大安全风险辨识范围及管控力度，对存在较大危险因素场所，增加安全警示标志和安全提示告知牌。</w:t>
      </w:r>
    </w:p>
    <w:p w14:paraId="678DAF2A">
      <w:pPr>
        <w:spacing w:line="360" w:lineRule="auto"/>
        <w:ind w:left="59" w:firstLine="640"/>
        <w:rPr>
          <w:rFonts w:ascii="仿宋" w:hAnsi="仿宋" w:eastAsia="仿宋"/>
          <w:sz w:val="32"/>
          <w:szCs w:val="32"/>
        </w:rPr>
      </w:pPr>
      <w:r>
        <w:rPr>
          <w:rFonts w:hint="eastAsia" w:ascii="仿宋" w:hAnsi="仿宋" w:eastAsia="仿宋" w:cs="仿宋"/>
          <w:sz w:val="32"/>
          <w:szCs w:val="32"/>
        </w:rPr>
        <w:t>四是严格执行国家规定，为从业人员及时提供符合国家标准或行业标准的劳动防护用品。</w:t>
      </w:r>
      <w:r>
        <w:rPr>
          <w:rFonts w:hint="eastAsia" w:ascii="仿宋" w:hAnsi="仿宋" w:eastAsia="仿宋"/>
          <w:sz w:val="32"/>
          <w:szCs w:val="32"/>
        </w:rPr>
        <w:t xml:space="preserve">  </w:t>
      </w:r>
    </w:p>
    <w:p w14:paraId="114C97D4">
      <w:pPr>
        <w:ind w:firstLine="643" w:firstLineChars="200"/>
        <w:rPr>
          <w:rFonts w:ascii="仿宋" w:hAnsi="仿宋" w:eastAsia="仿宋" w:cs="仿宋"/>
          <w:b/>
          <w:sz w:val="32"/>
          <w:szCs w:val="32"/>
        </w:rPr>
      </w:pPr>
      <w:r>
        <w:rPr>
          <w:rFonts w:hint="eastAsia" w:ascii="仿宋" w:hAnsi="仿宋" w:eastAsia="仿宋" w:cs="仿宋"/>
          <w:b/>
          <w:sz w:val="32"/>
          <w:szCs w:val="32"/>
        </w:rPr>
        <w:t>2.评估组评估落实情况</w:t>
      </w:r>
    </w:p>
    <w:p w14:paraId="42BBE3E8">
      <w:pPr>
        <w:spacing w:line="360" w:lineRule="auto"/>
        <w:ind w:left="59" w:firstLine="640"/>
        <w:rPr>
          <w:rFonts w:ascii="仿宋" w:hAnsi="仿宋" w:eastAsia="仿宋" w:cs="仿宋"/>
          <w:sz w:val="32"/>
          <w:szCs w:val="32"/>
        </w:rPr>
      </w:pPr>
      <w:r>
        <w:rPr>
          <w:rFonts w:hint="eastAsia" w:ascii="仿宋" w:hAnsi="仿宋" w:eastAsia="仿宋" w:cs="仿宋"/>
          <w:sz w:val="32"/>
          <w:szCs w:val="32"/>
        </w:rPr>
        <w:t>评估组根据事故调查报告提出的事故整改和防范措施要求，采取了听取汇报、调阅有关资料、查看现场等方式对抚顺特钢公司事故整改和防范措施情况进行了确认：</w:t>
      </w:r>
    </w:p>
    <w:p w14:paraId="13CCA44B">
      <w:pPr>
        <w:spacing w:line="360" w:lineRule="auto"/>
        <w:ind w:left="59" w:firstLine="640"/>
        <w:rPr>
          <w:rFonts w:ascii="仿宋" w:hAnsi="仿宋" w:eastAsia="仿宋" w:cs="仿宋"/>
          <w:sz w:val="32"/>
          <w:szCs w:val="32"/>
        </w:rPr>
      </w:pPr>
      <w:r>
        <w:rPr>
          <w:rFonts w:hint="eastAsia" w:ascii="仿宋" w:hAnsi="仿宋" w:eastAsia="仿宋" w:cs="仿宋"/>
          <w:sz w:val="32"/>
          <w:szCs w:val="32"/>
        </w:rPr>
        <w:t>一是完善了《（遥控式）桥式起重机安全技术操作规程》，对吊车遥控器使用进一步作出明确规定，设置了遥控器存放箱、实施上锁管理，禁止员工背着或手持遥控器进行其他操作、禁止带遥控器上下天车，严禁非本岗人员触摸、操作遥控器等。</w:t>
      </w:r>
    </w:p>
    <w:p w14:paraId="2BB2BDDE">
      <w:pPr>
        <w:spacing w:line="360" w:lineRule="auto"/>
        <w:ind w:left="59" w:firstLine="640"/>
        <w:rPr>
          <w:rFonts w:ascii="仿宋" w:hAnsi="仿宋" w:eastAsia="仿宋" w:cs="仿宋"/>
          <w:sz w:val="32"/>
          <w:szCs w:val="32"/>
        </w:rPr>
      </w:pPr>
      <w:r>
        <w:rPr>
          <w:rFonts w:hint="eastAsia" w:ascii="仿宋" w:hAnsi="仿宋" w:eastAsia="仿宋" w:cs="仿宋"/>
          <w:sz w:val="32"/>
          <w:szCs w:val="32"/>
        </w:rPr>
        <w:t xml:space="preserve">二是事故后开展专项检查共发现隐患问题44项、已经全部整改完毕，对286处天车走台蹬车口设施进行改进和完善、制作了78个遥控器存放箱，日常对违章违规行为严厉查处、教育引导员工遵章守纪。 </w:t>
      </w:r>
    </w:p>
    <w:p w14:paraId="232894E6">
      <w:pPr>
        <w:spacing w:line="360" w:lineRule="auto"/>
        <w:ind w:left="59" w:firstLine="640"/>
        <w:rPr>
          <w:rFonts w:ascii="仿宋" w:hAnsi="仿宋" w:eastAsia="仿宋" w:cs="仿宋"/>
          <w:sz w:val="32"/>
          <w:szCs w:val="32"/>
        </w:rPr>
      </w:pPr>
      <w:r>
        <w:rPr>
          <w:rFonts w:hint="eastAsia" w:ascii="仿宋" w:hAnsi="仿宋" w:eastAsia="仿宋" w:cs="仿宋"/>
          <w:sz w:val="32"/>
          <w:szCs w:val="32"/>
        </w:rPr>
        <w:t>三是组织开展危险场所（区域）再辨识，提升设备设施本质安全度，排查出设备设施安全联锁、安全保护、安全应急等方面存在功能缺失、不完善的点位298个，实施现场“双标”管理新识别165处，完善各类防护、报警配备26个。</w:t>
      </w:r>
    </w:p>
    <w:p w14:paraId="3845C233">
      <w:pPr>
        <w:spacing w:line="360" w:lineRule="auto"/>
        <w:ind w:left="59" w:firstLine="640"/>
        <w:rPr>
          <w:rFonts w:ascii="仿宋" w:hAnsi="仿宋" w:eastAsia="仿宋" w:cs="仿宋"/>
          <w:sz w:val="32"/>
          <w:szCs w:val="32"/>
        </w:rPr>
      </w:pPr>
      <w:r>
        <w:rPr>
          <w:rFonts w:hint="eastAsia" w:ascii="仿宋" w:hAnsi="仿宋" w:eastAsia="仿宋" w:cs="仿宋"/>
          <w:sz w:val="32"/>
          <w:szCs w:val="32"/>
        </w:rPr>
        <w:t>四是根据新的劳保防护标准修订了公司一级的相关管理制度，在公司上下各单位、各部门共计更换安全帽3537个。</w:t>
      </w:r>
    </w:p>
    <w:p w14:paraId="23FE81B6">
      <w:pPr>
        <w:spacing w:line="360" w:lineRule="auto"/>
        <w:ind w:left="59" w:firstLine="640"/>
        <w:rPr>
          <w:rFonts w:ascii="仿宋" w:hAnsi="仿宋" w:eastAsia="仿宋" w:cs="仿宋"/>
          <w:sz w:val="32"/>
          <w:szCs w:val="32"/>
        </w:rPr>
      </w:pPr>
      <w:r>
        <w:rPr>
          <w:rFonts w:hint="eastAsia" w:ascii="仿宋" w:hAnsi="仿宋" w:eastAsia="仿宋" w:cs="仿宋"/>
          <w:sz w:val="32"/>
          <w:szCs w:val="32"/>
        </w:rPr>
        <w:t>上述整改情况详见有关鉴证材料及安全生产专家评估报告。</w:t>
      </w:r>
    </w:p>
    <w:p w14:paraId="6BE44A97">
      <w:pPr>
        <w:ind w:firstLine="640" w:firstLineChars="200"/>
        <w:rPr>
          <w:rFonts w:eastAsia="黑体"/>
        </w:rPr>
      </w:pPr>
      <w:r>
        <w:rPr>
          <w:rFonts w:hint="eastAsia" w:ascii="黑体" w:hAnsi="黑体" w:eastAsia="黑体"/>
          <w:kern w:val="0"/>
          <w:sz w:val="32"/>
          <w:szCs w:val="32"/>
        </w:rPr>
        <w:t>三、事故评估结论</w:t>
      </w:r>
    </w:p>
    <w:p w14:paraId="4FEAA1E1">
      <w:pPr>
        <w:spacing w:line="360" w:lineRule="auto"/>
        <w:ind w:left="59" w:firstLine="640"/>
        <w:rPr>
          <w:rFonts w:ascii="仿宋" w:hAnsi="仿宋" w:eastAsia="仿宋" w:cs="仿宋"/>
          <w:sz w:val="32"/>
          <w:szCs w:val="32"/>
        </w:rPr>
      </w:pPr>
      <w:r>
        <w:rPr>
          <w:rFonts w:hint="eastAsia" w:ascii="仿宋" w:hAnsi="仿宋" w:eastAsia="仿宋" w:cs="仿宋"/>
          <w:sz w:val="32"/>
          <w:szCs w:val="32"/>
        </w:rPr>
        <w:t>相关部门及抚顺特钢公司按照事故调查报告要求对事故责任单位和责任人员进行了处理，按照事故整改和防范措施进行了整改。抚顺特钢公司要高度重视天车操作等特种设备作业，特别是要加强夜间独岗作业管理，要细化岗位操作规程，排查治理好安全生产隐患，优化生产作业环境，确保员工遵规守纪。</w:t>
      </w:r>
    </w:p>
    <w:p w14:paraId="23B70881">
      <w:pPr>
        <w:spacing w:line="360" w:lineRule="auto"/>
        <w:ind w:left="59" w:firstLine="640"/>
        <w:rPr>
          <w:rFonts w:ascii="仿宋" w:hAnsi="仿宋" w:eastAsia="仿宋" w:cs="仿宋"/>
          <w:sz w:val="32"/>
          <w:szCs w:val="32"/>
        </w:rPr>
      </w:pPr>
      <w:r>
        <w:rPr>
          <w:rFonts w:hint="eastAsia" w:ascii="仿宋" w:hAnsi="仿宋" w:eastAsia="仿宋" w:cs="仿宋"/>
          <w:sz w:val="32"/>
          <w:szCs w:val="32"/>
        </w:rPr>
        <w:t>附件：抚顺特殊钢股份有限公司“10·6”一般高处坠落事故评估组人员签字表</w:t>
      </w:r>
    </w:p>
    <w:p w14:paraId="607B2169">
      <w:pPr>
        <w:pStyle w:val="2"/>
        <w:ind w:firstLine="640"/>
        <w:rPr>
          <w:rFonts w:ascii="仿宋_GB2312" w:hAnsi="楷体" w:eastAsia="仿宋_GB2312"/>
        </w:rPr>
      </w:pPr>
    </w:p>
    <w:p w14:paraId="00EFF392">
      <w:pPr>
        <w:pStyle w:val="2"/>
        <w:ind w:firstLine="0" w:firstLineChars="0"/>
        <w:rPr>
          <w:rFonts w:ascii="仿宋_GB2312" w:hAnsi="楷体" w:eastAsia="仿宋_GB2312"/>
        </w:rPr>
      </w:pPr>
    </w:p>
    <w:p w14:paraId="16E8FC97">
      <w:pPr>
        <w:pStyle w:val="2"/>
        <w:ind w:firstLine="640"/>
        <w:rPr>
          <w:rFonts w:ascii="仿宋_GB2312" w:hAnsi="楷体" w:eastAsia="仿宋_GB2312"/>
        </w:rPr>
      </w:pPr>
    </w:p>
    <w:p w14:paraId="627B25F1">
      <w:pPr>
        <w:jc w:val="center"/>
        <w:rPr>
          <w:rFonts w:ascii="仿宋" w:hAnsi="仿宋" w:eastAsia="仿宋" w:cs="仿宋"/>
          <w:sz w:val="32"/>
          <w:szCs w:val="32"/>
        </w:rPr>
      </w:pPr>
      <w:r>
        <w:rPr>
          <w:rFonts w:hint="eastAsia" w:ascii="仿宋" w:hAnsi="仿宋" w:eastAsia="仿宋" w:cs="仿宋"/>
          <w:sz w:val="32"/>
          <w:szCs w:val="32"/>
        </w:rPr>
        <w:t xml:space="preserve">              抚顺特殊钢股份有限公司“10·6”</w:t>
      </w:r>
    </w:p>
    <w:p w14:paraId="72D24C67">
      <w:pPr>
        <w:jc w:val="center"/>
        <w:rPr>
          <w:rFonts w:ascii="仿宋" w:hAnsi="仿宋" w:eastAsia="仿宋" w:cs="仿宋"/>
          <w:kern w:val="1"/>
          <w:sz w:val="32"/>
          <w:szCs w:val="32"/>
        </w:rPr>
      </w:pPr>
      <w:r>
        <w:rPr>
          <w:rFonts w:hint="eastAsia" w:ascii="仿宋" w:hAnsi="仿宋" w:eastAsia="仿宋" w:cs="仿宋"/>
          <w:sz w:val="32"/>
          <w:szCs w:val="32"/>
        </w:rPr>
        <w:t xml:space="preserve">            一般高处坠落事故评估组</w:t>
      </w:r>
    </w:p>
    <w:p w14:paraId="75744580">
      <w:pPr>
        <w:ind w:firstLine="3840" w:firstLineChars="1200"/>
        <w:rPr>
          <w:rFonts w:ascii="仿宋" w:hAnsi="仿宋" w:eastAsia="仿宋" w:cs="仿宋"/>
          <w:sz w:val="32"/>
          <w:szCs w:val="32"/>
        </w:rPr>
      </w:pPr>
      <w:r>
        <w:rPr>
          <w:rFonts w:hint="eastAsia" w:ascii="仿宋" w:hAnsi="仿宋" w:eastAsia="仿宋" w:cs="仿宋"/>
          <w:sz w:val="32"/>
          <w:szCs w:val="32"/>
        </w:rPr>
        <w:t>2024年11月6日</w:t>
      </w:r>
    </w:p>
    <w:p w14:paraId="6FA7038C">
      <w:pPr>
        <w:spacing w:line="360" w:lineRule="auto"/>
        <w:rPr>
          <w:rFonts w:ascii="黑体" w:hAnsi="黑体" w:eastAsia="黑体" w:cs="黑体"/>
          <w:bCs/>
          <w:sz w:val="32"/>
          <w:szCs w:val="32"/>
        </w:rPr>
      </w:pPr>
    </w:p>
    <w:p w14:paraId="3334DAA5">
      <w:pPr>
        <w:spacing w:line="360" w:lineRule="auto"/>
        <w:rPr>
          <w:rFonts w:ascii="黑体" w:hAnsi="黑体" w:eastAsia="黑体" w:cs="黑体"/>
          <w:bCs/>
          <w:sz w:val="32"/>
          <w:szCs w:val="32"/>
        </w:rPr>
      </w:pPr>
      <w:r>
        <w:rPr>
          <w:rFonts w:hint="eastAsia" w:ascii="黑体" w:hAnsi="黑体" w:eastAsia="黑体" w:cs="黑体"/>
          <w:bCs/>
          <w:sz w:val="32"/>
          <w:szCs w:val="32"/>
        </w:rPr>
        <w:t>附件</w:t>
      </w:r>
    </w:p>
    <w:p w14:paraId="7E2B16CB">
      <w:pPr>
        <w:spacing w:line="0" w:lineRule="atLeast"/>
        <w:ind w:firstLine="100" w:firstLineChars="100"/>
        <w:rPr>
          <w:rFonts w:ascii="宋体" w:hAnsi="宋体"/>
          <w:b/>
          <w:sz w:val="10"/>
          <w:szCs w:val="10"/>
        </w:rPr>
      </w:pPr>
    </w:p>
    <w:p w14:paraId="35E255E7">
      <w:pPr>
        <w:spacing w:line="0" w:lineRule="atLeast"/>
        <w:ind w:firstLine="100" w:firstLineChars="100"/>
        <w:rPr>
          <w:rFonts w:ascii="宋体" w:hAnsi="宋体"/>
          <w:b/>
          <w:sz w:val="10"/>
          <w:szCs w:val="10"/>
        </w:rPr>
      </w:pPr>
    </w:p>
    <w:p w14:paraId="108E7BDB">
      <w:pPr>
        <w:spacing w:line="0" w:lineRule="atLeast"/>
        <w:jc w:val="center"/>
        <w:rPr>
          <w:rFonts w:ascii="宋体" w:hAnsi="宋体" w:eastAsia="宋体" w:cs="宋体"/>
          <w:b/>
          <w:sz w:val="44"/>
          <w:szCs w:val="44"/>
        </w:rPr>
      </w:pPr>
      <w:r>
        <w:rPr>
          <w:rFonts w:hint="eastAsia" w:ascii="宋体" w:hAnsi="宋体" w:eastAsia="宋体" w:cs="宋体"/>
          <w:b/>
          <w:sz w:val="44"/>
          <w:szCs w:val="44"/>
        </w:rPr>
        <w:t>抚顺特殊钢股份有限公司“10·6”</w:t>
      </w:r>
    </w:p>
    <w:p w14:paraId="5CC705C4">
      <w:pPr>
        <w:spacing w:line="0" w:lineRule="atLeast"/>
        <w:jc w:val="center"/>
        <w:rPr>
          <w:rFonts w:ascii="宋体" w:hAnsi="宋体" w:eastAsia="宋体" w:cs="宋体"/>
          <w:b/>
          <w:sz w:val="44"/>
          <w:szCs w:val="44"/>
        </w:rPr>
      </w:pPr>
      <w:r>
        <w:rPr>
          <w:rFonts w:hint="eastAsia" w:ascii="宋体" w:hAnsi="宋体" w:eastAsia="宋体" w:cs="宋体"/>
          <w:b/>
          <w:sz w:val="44"/>
          <w:szCs w:val="44"/>
        </w:rPr>
        <w:t>一般高处坠落事故</w:t>
      </w:r>
      <w:r>
        <w:rPr>
          <w:rFonts w:hint="eastAsia" w:ascii="宋体" w:hAnsi="宋体" w:eastAsia="宋体" w:cs="宋体"/>
          <w:b/>
          <w:kern w:val="1"/>
          <w:sz w:val="44"/>
          <w:szCs w:val="44"/>
        </w:rPr>
        <w:t>评估组成员</w:t>
      </w:r>
      <w:r>
        <w:rPr>
          <w:rFonts w:hint="eastAsia" w:ascii="宋体" w:hAnsi="宋体" w:eastAsia="宋体" w:cs="宋体"/>
          <w:b/>
          <w:sz w:val="44"/>
          <w:szCs w:val="44"/>
        </w:rPr>
        <w:t>签字表</w:t>
      </w:r>
    </w:p>
    <w:p w14:paraId="5DE30D90">
      <w:pPr>
        <w:pStyle w:val="5"/>
        <w:rPr>
          <w:rFonts w:ascii="宋体" w:hAnsi="宋体" w:eastAsia="宋体" w:cs="宋体"/>
          <w:b/>
          <w:sz w:val="44"/>
          <w:szCs w:val="44"/>
        </w:rPr>
      </w:pPr>
    </w:p>
    <w:tbl>
      <w:tblPr>
        <w:tblStyle w:val="9"/>
        <w:tblpPr w:leftFromText="180" w:rightFromText="180" w:vertAnchor="text" w:horzAnchor="page" w:tblpX="1825" w:tblpY="477"/>
        <w:tblOverlap w:val="never"/>
        <w:tblW w:w="91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192"/>
        <w:gridCol w:w="3601"/>
        <w:gridCol w:w="1605"/>
        <w:gridCol w:w="1287"/>
      </w:tblGrid>
      <w:tr w14:paraId="6D33A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32" w:type="dxa"/>
            <w:tcBorders>
              <w:tl2br w:val="nil"/>
              <w:tr2bl w:val="nil"/>
            </w:tcBorders>
            <w:vAlign w:val="center"/>
          </w:tcPr>
          <w:p w14:paraId="1938CC93">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职务</w:t>
            </w:r>
          </w:p>
        </w:tc>
        <w:tc>
          <w:tcPr>
            <w:tcW w:w="1192" w:type="dxa"/>
            <w:tcBorders>
              <w:tl2br w:val="nil"/>
              <w:tr2bl w:val="nil"/>
            </w:tcBorders>
            <w:vAlign w:val="center"/>
          </w:tcPr>
          <w:p w14:paraId="2803DAF8">
            <w:pPr>
              <w:spacing w:line="360" w:lineRule="auto"/>
              <w:ind w:right="-52"/>
              <w:jc w:val="center"/>
              <w:rPr>
                <w:rFonts w:ascii="宋体" w:hAnsi="宋体" w:eastAsia="宋体" w:cs="宋体"/>
                <w:b/>
                <w:kern w:val="1"/>
                <w:sz w:val="32"/>
                <w:szCs w:val="32"/>
              </w:rPr>
            </w:pPr>
            <w:r>
              <w:rPr>
                <w:rFonts w:hint="eastAsia" w:ascii="宋体" w:hAnsi="宋体" w:eastAsia="宋体" w:cs="宋体"/>
                <w:b/>
                <w:kern w:val="1"/>
                <w:sz w:val="32"/>
                <w:szCs w:val="32"/>
              </w:rPr>
              <w:t>姓名</w:t>
            </w:r>
          </w:p>
        </w:tc>
        <w:tc>
          <w:tcPr>
            <w:tcW w:w="3601" w:type="dxa"/>
            <w:tcBorders>
              <w:tl2br w:val="nil"/>
              <w:tr2bl w:val="nil"/>
            </w:tcBorders>
            <w:vAlign w:val="center"/>
          </w:tcPr>
          <w:p w14:paraId="74D7EC8D">
            <w:pPr>
              <w:spacing w:line="360" w:lineRule="auto"/>
              <w:ind w:right="317" w:firstLine="472"/>
              <w:jc w:val="center"/>
              <w:rPr>
                <w:rFonts w:ascii="宋体" w:hAnsi="宋体" w:eastAsia="宋体" w:cs="宋体"/>
                <w:b/>
                <w:kern w:val="1"/>
                <w:sz w:val="32"/>
                <w:szCs w:val="32"/>
              </w:rPr>
            </w:pPr>
            <w:r>
              <w:rPr>
                <w:rFonts w:hint="eastAsia" w:ascii="宋体" w:hAnsi="宋体" w:eastAsia="宋体" w:cs="宋体"/>
                <w:b/>
                <w:kern w:val="1"/>
                <w:sz w:val="32"/>
                <w:szCs w:val="32"/>
              </w:rPr>
              <w:t>单位</w:t>
            </w:r>
          </w:p>
        </w:tc>
        <w:tc>
          <w:tcPr>
            <w:tcW w:w="1605" w:type="dxa"/>
            <w:tcBorders>
              <w:tl2br w:val="nil"/>
              <w:tr2bl w:val="nil"/>
            </w:tcBorders>
            <w:vAlign w:val="center"/>
          </w:tcPr>
          <w:p w14:paraId="7B48D864">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职务</w:t>
            </w:r>
          </w:p>
        </w:tc>
        <w:tc>
          <w:tcPr>
            <w:tcW w:w="1287" w:type="dxa"/>
            <w:tcBorders>
              <w:tl2br w:val="nil"/>
              <w:tr2bl w:val="nil"/>
            </w:tcBorders>
            <w:vAlign w:val="center"/>
          </w:tcPr>
          <w:p w14:paraId="7CED7DC5">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签名</w:t>
            </w:r>
          </w:p>
        </w:tc>
      </w:tr>
      <w:tr w14:paraId="1BDAE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32" w:type="dxa"/>
            <w:tcBorders>
              <w:tl2br w:val="nil"/>
              <w:tr2bl w:val="nil"/>
            </w:tcBorders>
            <w:vAlign w:val="center"/>
          </w:tcPr>
          <w:p w14:paraId="191D7A0E">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组  长</w:t>
            </w:r>
          </w:p>
        </w:tc>
        <w:tc>
          <w:tcPr>
            <w:tcW w:w="1192" w:type="dxa"/>
            <w:tcBorders>
              <w:tl2br w:val="nil"/>
              <w:tr2bl w:val="nil"/>
            </w:tcBorders>
            <w:vAlign w:val="center"/>
          </w:tcPr>
          <w:p w14:paraId="77ECF11B">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王  伟</w:t>
            </w:r>
          </w:p>
        </w:tc>
        <w:tc>
          <w:tcPr>
            <w:tcW w:w="3601" w:type="dxa"/>
            <w:tcBorders>
              <w:tl2br w:val="nil"/>
              <w:tr2bl w:val="nil"/>
            </w:tcBorders>
            <w:vAlign w:val="center"/>
          </w:tcPr>
          <w:p w14:paraId="1FFB5793">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6EE7D569">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副局长</w:t>
            </w:r>
          </w:p>
        </w:tc>
        <w:tc>
          <w:tcPr>
            <w:tcW w:w="1287" w:type="dxa"/>
            <w:tcBorders>
              <w:tl2br w:val="nil"/>
              <w:tr2bl w:val="nil"/>
            </w:tcBorders>
            <w:vAlign w:val="center"/>
          </w:tcPr>
          <w:p w14:paraId="29EE91C3">
            <w:pPr>
              <w:spacing w:line="360" w:lineRule="auto"/>
              <w:ind w:right="-108"/>
              <w:jc w:val="center"/>
              <w:rPr>
                <w:rFonts w:ascii="仿宋" w:hAnsi="仿宋" w:eastAsia="仿宋" w:cs="仿宋"/>
                <w:kern w:val="1"/>
                <w:sz w:val="30"/>
                <w:szCs w:val="30"/>
              </w:rPr>
            </w:pPr>
          </w:p>
        </w:tc>
      </w:tr>
      <w:tr w14:paraId="0EBBD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32" w:type="dxa"/>
            <w:tcBorders>
              <w:tl2br w:val="nil"/>
              <w:tr2bl w:val="nil"/>
            </w:tcBorders>
            <w:vAlign w:val="center"/>
          </w:tcPr>
          <w:p w14:paraId="2478B202">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0621F2C3">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董学贤</w:t>
            </w:r>
          </w:p>
        </w:tc>
        <w:tc>
          <w:tcPr>
            <w:tcW w:w="3601" w:type="dxa"/>
            <w:tcBorders>
              <w:tl2br w:val="nil"/>
              <w:tr2bl w:val="nil"/>
            </w:tcBorders>
            <w:vAlign w:val="center"/>
          </w:tcPr>
          <w:p w14:paraId="1768100F">
            <w:pPr>
              <w:spacing w:line="360" w:lineRule="auto"/>
              <w:ind w:right="175"/>
              <w:jc w:val="center"/>
              <w:rPr>
                <w:rFonts w:ascii="仿宋" w:hAnsi="仿宋" w:eastAsia="仿宋" w:cs="仿宋"/>
                <w:kern w:val="1"/>
                <w:sz w:val="30"/>
                <w:szCs w:val="30"/>
              </w:rPr>
            </w:pPr>
            <w:r>
              <w:rPr>
                <w:rFonts w:ascii="仿宋" w:hAnsi="仿宋" w:eastAsia="仿宋" w:cs="仿宋"/>
                <w:kern w:val="1"/>
                <w:sz w:val="30"/>
                <w:szCs w:val="30"/>
              </w:rPr>
              <w:t>抚顺市总工会</w:t>
            </w:r>
          </w:p>
        </w:tc>
        <w:tc>
          <w:tcPr>
            <w:tcW w:w="1605" w:type="dxa"/>
            <w:tcBorders>
              <w:tl2br w:val="nil"/>
              <w:tr2bl w:val="nil"/>
            </w:tcBorders>
            <w:vAlign w:val="center"/>
          </w:tcPr>
          <w:p w14:paraId="2906EF4B">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部  长</w:t>
            </w:r>
          </w:p>
        </w:tc>
        <w:tc>
          <w:tcPr>
            <w:tcW w:w="1287" w:type="dxa"/>
            <w:tcBorders>
              <w:tl2br w:val="nil"/>
              <w:tr2bl w:val="nil"/>
            </w:tcBorders>
            <w:vAlign w:val="center"/>
          </w:tcPr>
          <w:p w14:paraId="56254DC1">
            <w:pPr>
              <w:spacing w:line="360" w:lineRule="auto"/>
              <w:ind w:right="-108"/>
              <w:jc w:val="center"/>
              <w:rPr>
                <w:rFonts w:ascii="仿宋" w:hAnsi="仿宋" w:eastAsia="仿宋" w:cs="仿宋"/>
                <w:kern w:val="1"/>
                <w:sz w:val="30"/>
                <w:szCs w:val="30"/>
              </w:rPr>
            </w:pPr>
          </w:p>
        </w:tc>
      </w:tr>
      <w:tr w14:paraId="71087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32" w:type="dxa"/>
            <w:tcBorders>
              <w:tl2br w:val="nil"/>
              <w:tr2bl w:val="nil"/>
            </w:tcBorders>
            <w:vAlign w:val="center"/>
          </w:tcPr>
          <w:p w14:paraId="236C0219">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04CAA1FE">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吴柯臻</w:t>
            </w:r>
          </w:p>
        </w:tc>
        <w:tc>
          <w:tcPr>
            <w:tcW w:w="3601" w:type="dxa"/>
            <w:tcBorders>
              <w:tl2br w:val="nil"/>
              <w:tr2bl w:val="nil"/>
            </w:tcBorders>
            <w:vAlign w:val="center"/>
          </w:tcPr>
          <w:p w14:paraId="0D64B6C0">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抚顺市公安局内保分局</w:t>
            </w:r>
          </w:p>
        </w:tc>
        <w:tc>
          <w:tcPr>
            <w:tcW w:w="1605" w:type="dxa"/>
            <w:tcBorders>
              <w:tl2br w:val="nil"/>
              <w:tr2bl w:val="nil"/>
            </w:tcBorders>
            <w:vAlign w:val="center"/>
          </w:tcPr>
          <w:p w14:paraId="3D5AA255">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大队长</w:t>
            </w:r>
          </w:p>
        </w:tc>
        <w:tc>
          <w:tcPr>
            <w:tcW w:w="1287" w:type="dxa"/>
            <w:tcBorders>
              <w:tl2br w:val="nil"/>
              <w:tr2bl w:val="nil"/>
            </w:tcBorders>
            <w:vAlign w:val="center"/>
          </w:tcPr>
          <w:p w14:paraId="25E44119">
            <w:pPr>
              <w:spacing w:line="360" w:lineRule="auto"/>
              <w:ind w:right="-108"/>
              <w:jc w:val="center"/>
              <w:rPr>
                <w:rFonts w:ascii="仿宋" w:hAnsi="仿宋" w:eastAsia="仿宋" w:cs="仿宋"/>
                <w:kern w:val="1"/>
                <w:sz w:val="30"/>
                <w:szCs w:val="30"/>
              </w:rPr>
            </w:pPr>
          </w:p>
        </w:tc>
      </w:tr>
      <w:tr w14:paraId="7ACF0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4D576D37">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1028611D">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高广来</w:t>
            </w:r>
          </w:p>
        </w:tc>
        <w:tc>
          <w:tcPr>
            <w:tcW w:w="3601" w:type="dxa"/>
            <w:tcBorders>
              <w:tl2br w:val="nil"/>
              <w:tr2bl w:val="nil"/>
            </w:tcBorders>
            <w:vAlign w:val="center"/>
          </w:tcPr>
          <w:p w14:paraId="389003D1">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7DDB666A">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科  长</w:t>
            </w:r>
          </w:p>
        </w:tc>
        <w:tc>
          <w:tcPr>
            <w:tcW w:w="1287" w:type="dxa"/>
            <w:tcBorders>
              <w:tl2br w:val="nil"/>
              <w:tr2bl w:val="nil"/>
            </w:tcBorders>
            <w:vAlign w:val="center"/>
          </w:tcPr>
          <w:p w14:paraId="0D741107">
            <w:pPr>
              <w:spacing w:line="360" w:lineRule="auto"/>
              <w:ind w:right="-108"/>
              <w:jc w:val="center"/>
              <w:rPr>
                <w:rFonts w:ascii="仿宋" w:hAnsi="仿宋" w:eastAsia="仿宋" w:cs="仿宋"/>
                <w:kern w:val="1"/>
                <w:sz w:val="30"/>
                <w:szCs w:val="30"/>
              </w:rPr>
            </w:pPr>
          </w:p>
        </w:tc>
      </w:tr>
      <w:tr w14:paraId="17EF6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32" w:type="dxa"/>
            <w:tcBorders>
              <w:tl2br w:val="nil"/>
              <w:tr2bl w:val="nil"/>
            </w:tcBorders>
            <w:vAlign w:val="center"/>
          </w:tcPr>
          <w:p w14:paraId="76989F95">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成  员</w:t>
            </w:r>
          </w:p>
        </w:tc>
        <w:tc>
          <w:tcPr>
            <w:tcW w:w="1192" w:type="dxa"/>
            <w:tcBorders>
              <w:tl2br w:val="nil"/>
              <w:tr2bl w:val="nil"/>
            </w:tcBorders>
            <w:vAlign w:val="center"/>
          </w:tcPr>
          <w:p w14:paraId="608C0480">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陈  璐</w:t>
            </w:r>
          </w:p>
        </w:tc>
        <w:tc>
          <w:tcPr>
            <w:tcW w:w="3601" w:type="dxa"/>
            <w:tcBorders>
              <w:tl2br w:val="nil"/>
              <w:tr2bl w:val="nil"/>
            </w:tcBorders>
            <w:vAlign w:val="center"/>
          </w:tcPr>
          <w:p w14:paraId="66693A94">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抚顺市公安局内保分局</w:t>
            </w:r>
          </w:p>
        </w:tc>
        <w:tc>
          <w:tcPr>
            <w:tcW w:w="1605" w:type="dxa"/>
            <w:tcBorders>
              <w:tl2br w:val="nil"/>
              <w:tr2bl w:val="nil"/>
            </w:tcBorders>
            <w:vAlign w:val="center"/>
          </w:tcPr>
          <w:p w14:paraId="7BE1D98B">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四  级</w:t>
            </w:r>
          </w:p>
          <w:p w14:paraId="44FD691C">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高级警长</w:t>
            </w:r>
          </w:p>
        </w:tc>
        <w:tc>
          <w:tcPr>
            <w:tcW w:w="1287" w:type="dxa"/>
            <w:tcBorders>
              <w:tl2br w:val="nil"/>
              <w:tr2bl w:val="nil"/>
            </w:tcBorders>
            <w:vAlign w:val="center"/>
          </w:tcPr>
          <w:p w14:paraId="0299CAA2">
            <w:pPr>
              <w:spacing w:line="360" w:lineRule="auto"/>
              <w:ind w:right="-108"/>
              <w:jc w:val="center"/>
              <w:rPr>
                <w:rFonts w:ascii="仿宋" w:hAnsi="仿宋" w:eastAsia="仿宋" w:cs="仿宋"/>
                <w:kern w:val="1"/>
                <w:sz w:val="30"/>
                <w:szCs w:val="30"/>
              </w:rPr>
            </w:pPr>
          </w:p>
        </w:tc>
      </w:tr>
      <w:tr w14:paraId="2797A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7DD47E4E">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成  员</w:t>
            </w:r>
          </w:p>
        </w:tc>
        <w:tc>
          <w:tcPr>
            <w:tcW w:w="1192" w:type="dxa"/>
            <w:tcBorders>
              <w:tl2br w:val="nil"/>
              <w:tr2bl w:val="nil"/>
            </w:tcBorders>
            <w:vAlign w:val="center"/>
          </w:tcPr>
          <w:p w14:paraId="3E60F84B">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闫洪昌</w:t>
            </w:r>
          </w:p>
        </w:tc>
        <w:tc>
          <w:tcPr>
            <w:tcW w:w="3601" w:type="dxa"/>
            <w:tcBorders>
              <w:tl2br w:val="nil"/>
              <w:tr2bl w:val="nil"/>
            </w:tcBorders>
            <w:vAlign w:val="center"/>
          </w:tcPr>
          <w:p w14:paraId="0ED7F593">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579F6696">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主任科员</w:t>
            </w:r>
          </w:p>
        </w:tc>
        <w:tc>
          <w:tcPr>
            <w:tcW w:w="1287" w:type="dxa"/>
            <w:tcBorders>
              <w:tl2br w:val="nil"/>
              <w:tr2bl w:val="nil"/>
            </w:tcBorders>
            <w:vAlign w:val="center"/>
          </w:tcPr>
          <w:p w14:paraId="313EB558">
            <w:pPr>
              <w:spacing w:line="360" w:lineRule="auto"/>
              <w:ind w:right="-108"/>
              <w:jc w:val="center"/>
              <w:rPr>
                <w:rFonts w:ascii="仿宋" w:hAnsi="仿宋" w:eastAsia="仿宋" w:cs="仿宋"/>
                <w:kern w:val="1"/>
                <w:sz w:val="30"/>
                <w:szCs w:val="30"/>
              </w:rPr>
            </w:pPr>
          </w:p>
        </w:tc>
      </w:tr>
      <w:tr w14:paraId="29478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316C09EA">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成  员</w:t>
            </w:r>
          </w:p>
        </w:tc>
        <w:tc>
          <w:tcPr>
            <w:tcW w:w="1192" w:type="dxa"/>
            <w:tcBorders>
              <w:tl2br w:val="nil"/>
              <w:tr2bl w:val="nil"/>
            </w:tcBorders>
            <w:vAlign w:val="center"/>
          </w:tcPr>
          <w:p w14:paraId="3301E9C8">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高  赫</w:t>
            </w:r>
          </w:p>
        </w:tc>
        <w:tc>
          <w:tcPr>
            <w:tcW w:w="3601" w:type="dxa"/>
            <w:tcBorders>
              <w:tl2br w:val="nil"/>
              <w:tr2bl w:val="nil"/>
            </w:tcBorders>
            <w:vAlign w:val="center"/>
          </w:tcPr>
          <w:p w14:paraId="436B54DA">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45C5A196">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主任科员</w:t>
            </w:r>
          </w:p>
        </w:tc>
        <w:tc>
          <w:tcPr>
            <w:tcW w:w="1287" w:type="dxa"/>
            <w:tcBorders>
              <w:tl2br w:val="nil"/>
              <w:tr2bl w:val="nil"/>
            </w:tcBorders>
            <w:vAlign w:val="center"/>
          </w:tcPr>
          <w:p w14:paraId="37040E37">
            <w:pPr>
              <w:spacing w:line="360" w:lineRule="auto"/>
              <w:ind w:right="-108"/>
              <w:jc w:val="center"/>
              <w:rPr>
                <w:rFonts w:ascii="仿宋" w:hAnsi="仿宋" w:eastAsia="仿宋" w:cs="仿宋"/>
                <w:kern w:val="1"/>
                <w:sz w:val="30"/>
                <w:szCs w:val="30"/>
              </w:rPr>
            </w:pPr>
          </w:p>
        </w:tc>
      </w:tr>
    </w:tbl>
    <w:p w14:paraId="4EDF147A">
      <w:pPr>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0335"/>
    </w:sdtPr>
    <w:sdtContent>
      <w:p w14:paraId="7F502F90">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3B8D0D4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84745"/>
    <w:multiLevelType w:val="singleLevel"/>
    <w:tmpl w:val="F5C847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2NDk5MGQzZjNiNTg2MjZlZTY5ZmUxYmY4YzE4MTMifQ=="/>
  </w:docVars>
  <w:rsids>
    <w:rsidRoot w:val="00B43AC2"/>
    <w:rsid w:val="00002AAE"/>
    <w:rsid w:val="0003550B"/>
    <w:rsid w:val="00036C1E"/>
    <w:rsid w:val="000437F2"/>
    <w:rsid w:val="000514F7"/>
    <w:rsid w:val="0008083C"/>
    <w:rsid w:val="0009102E"/>
    <w:rsid w:val="000A61BB"/>
    <w:rsid w:val="000C2E2D"/>
    <w:rsid w:val="000F27BC"/>
    <w:rsid w:val="00107987"/>
    <w:rsid w:val="001250CB"/>
    <w:rsid w:val="00165B35"/>
    <w:rsid w:val="00182300"/>
    <w:rsid w:val="001B2123"/>
    <w:rsid w:val="001D011E"/>
    <w:rsid w:val="001D389A"/>
    <w:rsid w:val="001E3906"/>
    <w:rsid w:val="001F0DD1"/>
    <w:rsid w:val="001F13AF"/>
    <w:rsid w:val="00204F2F"/>
    <w:rsid w:val="00210E0D"/>
    <w:rsid w:val="00233F4F"/>
    <w:rsid w:val="00252C68"/>
    <w:rsid w:val="00265D63"/>
    <w:rsid w:val="002821F1"/>
    <w:rsid w:val="00283560"/>
    <w:rsid w:val="002A49EB"/>
    <w:rsid w:val="002A690F"/>
    <w:rsid w:val="002E6230"/>
    <w:rsid w:val="003240FE"/>
    <w:rsid w:val="00324BD1"/>
    <w:rsid w:val="00343C9D"/>
    <w:rsid w:val="00353AF3"/>
    <w:rsid w:val="003808CC"/>
    <w:rsid w:val="00393D60"/>
    <w:rsid w:val="003A5F48"/>
    <w:rsid w:val="003B2257"/>
    <w:rsid w:val="003B3A89"/>
    <w:rsid w:val="003B7AC3"/>
    <w:rsid w:val="003E6428"/>
    <w:rsid w:val="003E65AA"/>
    <w:rsid w:val="00406D16"/>
    <w:rsid w:val="00422A8D"/>
    <w:rsid w:val="0042744B"/>
    <w:rsid w:val="00432577"/>
    <w:rsid w:val="004343AA"/>
    <w:rsid w:val="00454798"/>
    <w:rsid w:val="0045743B"/>
    <w:rsid w:val="0048569D"/>
    <w:rsid w:val="004B0E15"/>
    <w:rsid w:val="0051186D"/>
    <w:rsid w:val="00554D7D"/>
    <w:rsid w:val="005565D9"/>
    <w:rsid w:val="00560656"/>
    <w:rsid w:val="00561D7B"/>
    <w:rsid w:val="005714B7"/>
    <w:rsid w:val="005814AF"/>
    <w:rsid w:val="00586A23"/>
    <w:rsid w:val="00591E42"/>
    <w:rsid w:val="00594D16"/>
    <w:rsid w:val="005B369E"/>
    <w:rsid w:val="005E2369"/>
    <w:rsid w:val="005F36AD"/>
    <w:rsid w:val="006147DE"/>
    <w:rsid w:val="0061638F"/>
    <w:rsid w:val="0063722C"/>
    <w:rsid w:val="00637B6E"/>
    <w:rsid w:val="00640E63"/>
    <w:rsid w:val="0065139F"/>
    <w:rsid w:val="00661CEF"/>
    <w:rsid w:val="00691188"/>
    <w:rsid w:val="006C10CC"/>
    <w:rsid w:val="006E55A7"/>
    <w:rsid w:val="007052C1"/>
    <w:rsid w:val="00710CC3"/>
    <w:rsid w:val="007243DC"/>
    <w:rsid w:val="00733B50"/>
    <w:rsid w:val="00741E49"/>
    <w:rsid w:val="00750127"/>
    <w:rsid w:val="007859D0"/>
    <w:rsid w:val="00793872"/>
    <w:rsid w:val="007A0E62"/>
    <w:rsid w:val="00826058"/>
    <w:rsid w:val="00833DC5"/>
    <w:rsid w:val="00837618"/>
    <w:rsid w:val="00840910"/>
    <w:rsid w:val="0087715E"/>
    <w:rsid w:val="00877402"/>
    <w:rsid w:val="00897471"/>
    <w:rsid w:val="008C44B5"/>
    <w:rsid w:val="008C6F9F"/>
    <w:rsid w:val="008E385F"/>
    <w:rsid w:val="008F17F7"/>
    <w:rsid w:val="00916244"/>
    <w:rsid w:val="009177BC"/>
    <w:rsid w:val="0097395D"/>
    <w:rsid w:val="00994E95"/>
    <w:rsid w:val="009A1E18"/>
    <w:rsid w:val="009B58E3"/>
    <w:rsid w:val="009E7AC9"/>
    <w:rsid w:val="009F4A82"/>
    <w:rsid w:val="00A36F02"/>
    <w:rsid w:val="00A46AAC"/>
    <w:rsid w:val="00A5623E"/>
    <w:rsid w:val="00AB5C81"/>
    <w:rsid w:val="00AB6378"/>
    <w:rsid w:val="00AD0828"/>
    <w:rsid w:val="00AF73E9"/>
    <w:rsid w:val="00B0578F"/>
    <w:rsid w:val="00B06009"/>
    <w:rsid w:val="00B15093"/>
    <w:rsid w:val="00B42645"/>
    <w:rsid w:val="00B43AC2"/>
    <w:rsid w:val="00B44C62"/>
    <w:rsid w:val="00B528B1"/>
    <w:rsid w:val="00B7602A"/>
    <w:rsid w:val="00B82D06"/>
    <w:rsid w:val="00B843A2"/>
    <w:rsid w:val="00BA0010"/>
    <w:rsid w:val="00BC5351"/>
    <w:rsid w:val="00BD0899"/>
    <w:rsid w:val="00BE0E0C"/>
    <w:rsid w:val="00BF15E8"/>
    <w:rsid w:val="00BF1A66"/>
    <w:rsid w:val="00BF5017"/>
    <w:rsid w:val="00C02118"/>
    <w:rsid w:val="00C04C67"/>
    <w:rsid w:val="00C10F67"/>
    <w:rsid w:val="00C13706"/>
    <w:rsid w:val="00C24922"/>
    <w:rsid w:val="00C26124"/>
    <w:rsid w:val="00C354DF"/>
    <w:rsid w:val="00C4661C"/>
    <w:rsid w:val="00C62AFC"/>
    <w:rsid w:val="00C81BB7"/>
    <w:rsid w:val="00C849C8"/>
    <w:rsid w:val="00C904C9"/>
    <w:rsid w:val="00C95576"/>
    <w:rsid w:val="00CD4B17"/>
    <w:rsid w:val="00CD69DF"/>
    <w:rsid w:val="00CE29B2"/>
    <w:rsid w:val="00CE3D21"/>
    <w:rsid w:val="00D04BB4"/>
    <w:rsid w:val="00D30970"/>
    <w:rsid w:val="00D322E3"/>
    <w:rsid w:val="00D42CF5"/>
    <w:rsid w:val="00D56A63"/>
    <w:rsid w:val="00D87074"/>
    <w:rsid w:val="00DE4397"/>
    <w:rsid w:val="00DF5DB9"/>
    <w:rsid w:val="00E01325"/>
    <w:rsid w:val="00E22CE2"/>
    <w:rsid w:val="00E57EE1"/>
    <w:rsid w:val="00E653E1"/>
    <w:rsid w:val="00E66DFC"/>
    <w:rsid w:val="00E81DD2"/>
    <w:rsid w:val="00E8719C"/>
    <w:rsid w:val="00E909DD"/>
    <w:rsid w:val="00E91064"/>
    <w:rsid w:val="00E91D0F"/>
    <w:rsid w:val="00EA4F02"/>
    <w:rsid w:val="00EB483F"/>
    <w:rsid w:val="00ED299A"/>
    <w:rsid w:val="00EF068F"/>
    <w:rsid w:val="00F43A27"/>
    <w:rsid w:val="00F5547E"/>
    <w:rsid w:val="00F63FC0"/>
    <w:rsid w:val="00F814F7"/>
    <w:rsid w:val="00F947B6"/>
    <w:rsid w:val="00FD7F9A"/>
    <w:rsid w:val="04065B04"/>
    <w:rsid w:val="05527E76"/>
    <w:rsid w:val="09D7268F"/>
    <w:rsid w:val="10AF3930"/>
    <w:rsid w:val="137A1780"/>
    <w:rsid w:val="16C937F2"/>
    <w:rsid w:val="1FC6639D"/>
    <w:rsid w:val="27FB5056"/>
    <w:rsid w:val="2C8C0C05"/>
    <w:rsid w:val="2E2D381F"/>
    <w:rsid w:val="2FF376DF"/>
    <w:rsid w:val="346C66CC"/>
    <w:rsid w:val="34A5F3C1"/>
    <w:rsid w:val="37127358"/>
    <w:rsid w:val="378D62B9"/>
    <w:rsid w:val="37FD9D06"/>
    <w:rsid w:val="3E192C67"/>
    <w:rsid w:val="3E6F1935"/>
    <w:rsid w:val="3FB136DE"/>
    <w:rsid w:val="40A62179"/>
    <w:rsid w:val="43A7467E"/>
    <w:rsid w:val="47A478B6"/>
    <w:rsid w:val="48106157"/>
    <w:rsid w:val="492F1773"/>
    <w:rsid w:val="4CBF0734"/>
    <w:rsid w:val="4DCC4911"/>
    <w:rsid w:val="50895D90"/>
    <w:rsid w:val="51626F91"/>
    <w:rsid w:val="51F34731"/>
    <w:rsid w:val="52525073"/>
    <w:rsid w:val="54322F20"/>
    <w:rsid w:val="59921039"/>
    <w:rsid w:val="59D74D15"/>
    <w:rsid w:val="5C7A4A82"/>
    <w:rsid w:val="5EA051FB"/>
    <w:rsid w:val="5EFF6362"/>
    <w:rsid w:val="6507D7B5"/>
    <w:rsid w:val="68EF61D8"/>
    <w:rsid w:val="6AAB4A03"/>
    <w:rsid w:val="6DA13CD3"/>
    <w:rsid w:val="6FF84966"/>
    <w:rsid w:val="70496864"/>
    <w:rsid w:val="71CF623D"/>
    <w:rsid w:val="76D6403D"/>
    <w:rsid w:val="77794CA3"/>
    <w:rsid w:val="77B85DCB"/>
    <w:rsid w:val="79B66F3A"/>
    <w:rsid w:val="7A3D734C"/>
    <w:rsid w:val="7BFF0452"/>
    <w:rsid w:val="7CD715CB"/>
    <w:rsid w:val="7CFB0AFE"/>
    <w:rsid w:val="7DF03421"/>
    <w:rsid w:val="7FDB6E44"/>
    <w:rsid w:val="AFB7773D"/>
    <w:rsid w:val="BDFDDF47"/>
    <w:rsid w:val="BE3FA339"/>
    <w:rsid w:val="BEEF24D7"/>
    <w:rsid w:val="D5DF9574"/>
    <w:rsid w:val="DF7F5216"/>
    <w:rsid w:val="EB9D44A2"/>
    <w:rsid w:val="EFDFAAA4"/>
    <w:rsid w:val="F3BE4407"/>
    <w:rsid w:val="F7FFF5A1"/>
    <w:rsid w:val="FACD2E7A"/>
    <w:rsid w:val="FBFCD4BC"/>
    <w:rsid w:val="FCDB0EE1"/>
    <w:rsid w:val="FFAFA2D3"/>
    <w:rsid w:val="FFCD8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560" w:lineRule="exact"/>
      <w:ind w:firstLine="420" w:firstLineChars="200"/>
    </w:pPr>
    <w:rPr>
      <w:rFonts w:ascii="方正仿宋简体" w:hAnsi="宋体" w:eastAsia="方正仿宋简体" w:cs="方正仿宋简体"/>
      <w:kern w:val="0"/>
      <w:sz w:val="32"/>
      <w:szCs w:val="32"/>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10"/>
    <w:link w:val="3"/>
    <w:semiHidden/>
    <w:qFormat/>
    <w:uiPriority w:val="99"/>
  </w:style>
  <w:style w:type="character" w:customStyle="1" w:styleId="15">
    <w:name w:val="标题 Char"/>
    <w:basedOn w:val="10"/>
    <w:link w:val="7"/>
    <w:qFormat/>
    <w:uiPriority w:val="10"/>
    <w:rPr>
      <w:rFonts w:eastAsia="宋体" w:asciiTheme="majorHAnsi" w:hAnsiTheme="majorHAnsi" w:cstheme="majorBidi"/>
      <w:b/>
      <w:bCs/>
      <w:sz w:val="32"/>
      <w:szCs w:val="32"/>
    </w:rPr>
  </w:style>
  <w:style w:type="character" w:customStyle="1" w:styleId="16">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1816</Words>
  <Characters>1862</Characters>
  <Lines>14</Lines>
  <Paragraphs>4</Paragraphs>
  <TotalTime>6</TotalTime>
  <ScaleCrop>false</ScaleCrop>
  <LinksUpToDate>false</LinksUpToDate>
  <CharactersWithSpaces>1919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2017-05-07T09:14:00Z</dcterms:created>
  <dc:creator>Administrator</dc:creator>
  <cp:lastModifiedBy>广来</cp:lastModifiedBy>
  <cp:lastPrinted>2024-11-05T08:33:00Z</cp:lastPrinted>
  <dcterms:modified xsi:type="dcterms:W3CDTF">2024-11-05T11:00:01Z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37ACC38AC68040E0AB1A0BF31C230088</vt:lpwstr>
  </property>
</Properties>
</file>