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EB8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color w:val="auto"/>
          <w:sz w:val="44"/>
          <w:szCs w:val="44"/>
          <w:highlight w:val="none"/>
          <w:lang w:val="en-US" w:eastAsia="zh-CN"/>
        </w:rPr>
      </w:pPr>
      <w:r>
        <w:rPr>
          <w:sz w:val="44"/>
        </w:rPr>
        <mc:AlternateContent>
          <mc:Choice Requires="wps">
            <w:drawing>
              <wp:anchor distT="0" distB="0" distL="114300" distR="114300" simplePos="0" relativeHeight="251662336" behindDoc="0" locked="0" layoutInCell="1" allowOverlap="1">
                <wp:simplePos x="0" y="0"/>
                <wp:positionH relativeFrom="column">
                  <wp:posOffset>-23495</wp:posOffset>
                </wp:positionH>
                <wp:positionV relativeFrom="paragraph">
                  <wp:posOffset>-624840</wp:posOffset>
                </wp:positionV>
                <wp:extent cx="2740025" cy="469265"/>
                <wp:effectExtent l="0" t="0" r="3175" b="635"/>
                <wp:wrapNone/>
                <wp:docPr id="4" name="文本框 4"/>
                <wp:cNvGraphicFramePr/>
                <a:graphic xmlns:a="http://schemas.openxmlformats.org/drawingml/2006/main">
                  <a:graphicData uri="http://schemas.microsoft.com/office/word/2010/wordprocessingShape">
                    <wps:wsp>
                      <wps:cNvSpPr txBox="1"/>
                      <wps:spPr>
                        <a:xfrm>
                          <a:off x="0" y="0"/>
                          <a:ext cx="2740025" cy="469265"/>
                        </a:xfrm>
                        <a:prstGeom prst="rect">
                          <a:avLst/>
                        </a:prstGeom>
                        <a:solidFill>
                          <a:srgbClr val="FFFFFF"/>
                        </a:solidFill>
                        <a:ln>
                          <a:noFill/>
                        </a:ln>
                      </wps:spPr>
                      <wps:txbx>
                        <w:txbxContent>
                          <w:p w14:paraId="0F02C42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txbxContent>
                      </wps:txbx>
                      <wps:bodyPr upright="1"/>
                    </wps:wsp>
                  </a:graphicData>
                </a:graphic>
              </wp:anchor>
            </w:drawing>
          </mc:Choice>
          <mc:Fallback>
            <w:pict>
              <v:shape id="_x0000_s1026" o:spid="_x0000_s1026" o:spt="202" type="#_x0000_t202" style="position:absolute;left:0pt;margin-left:-1.85pt;margin-top:-49.2pt;height:36.95pt;width:215.75pt;z-index:251662336;mso-width-relative:page;mso-height-relative:page;" fillcolor="#FFFFFF" filled="t" stroked="f" coordsize="21600,21600" o:gfxdata="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wOSAc2AAAAAoBAAAPAAAAAAAAAAEAIAAAACIAAABkcnMvZG93bnJldi54&#10;bWxQSwECFAAUAAAACACHTuJAzq2UPsEBAAB3AwAADgAAAAAAAAABACAAAAAnAQAAZHJzL2Uyb0Rv&#10;Yy54bWxQSwUGAAAAAAYABgBZAQAAWgUAAAAA&#10;">
                <v:fill on="t" focussize="0,0"/>
                <v:stroke on="f"/>
                <v:imagedata o:title=""/>
                <o:lock v:ext="edit" aspectratio="f"/>
                <v:textbox>
                  <w:txbxContent>
                    <w:p w14:paraId="0F02C42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txbxContent>
                </v:textbox>
              </v:shape>
            </w:pict>
          </mc:Fallback>
        </mc:AlternateContent>
      </w:r>
      <w:r>
        <w:rPr>
          <w:rFonts w:hint="eastAsia" w:ascii="宋体" w:hAnsi="宋体" w:eastAsia="宋体" w:cs="宋体"/>
          <w:b/>
          <w:bCs/>
          <w:color w:val="auto"/>
          <w:sz w:val="44"/>
          <w:szCs w:val="44"/>
          <w:highlight w:val="none"/>
          <w:lang w:eastAsia="zh-CN"/>
        </w:rPr>
        <w:t>抚顺望花</w:t>
      </w:r>
      <w:r>
        <w:rPr>
          <w:rFonts w:hint="eastAsia" w:ascii="宋体" w:hAnsi="宋体" w:cs="宋体"/>
          <w:b/>
          <w:bCs/>
          <w:color w:val="auto"/>
          <w:sz w:val="44"/>
          <w:szCs w:val="44"/>
          <w:highlight w:val="none"/>
          <w:lang w:eastAsia="zh-CN"/>
        </w:rPr>
        <w:t>龙宇公司轧钢厂</w:t>
      </w:r>
      <w:r>
        <w:rPr>
          <w:rFonts w:hint="eastAsia" w:ascii="宋体" w:hAnsi="宋体" w:cs="宋体"/>
          <w:b/>
          <w:bCs/>
          <w:color w:val="auto"/>
          <w:sz w:val="44"/>
          <w:szCs w:val="44"/>
          <w:highlight w:val="none"/>
          <w:lang w:val="en-US" w:eastAsia="zh-CN"/>
        </w:rPr>
        <w:t>天车轨道</w:t>
      </w:r>
    </w:p>
    <w:p w14:paraId="0DB2C2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cs="宋体"/>
          <w:b/>
          <w:bCs/>
          <w:color w:val="auto"/>
          <w:sz w:val="44"/>
          <w:szCs w:val="44"/>
          <w:highlight w:val="none"/>
          <w:lang w:val="en-US" w:eastAsia="zh-CN"/>
        </w:rPr>
        <w:t>维修</w:t>
      </w:r>
      <w:r>
        <w:rPr>
          <w:rFonts w:hint="eastAsia" w:ascii="宋体" w:hAnsi="宋体" w:eastAsia="宋体" w:cs="宋体"/>
          <w:b/>
          <w:bCs/>
          <w:color w:val="auto"/>
          <w:sz w:val="44"/>
          <w:szCs w:val="44"/>
          <w:highlight w:val="none"/>
          <w:lang w:val="en-US" w:eastAsia="zh-CN"/>
        </w:rPr>
        <w:t>项目</w:t>
      </w:r>
      <w:r>
        <w:rPr>
          <w:rFonts w:hint="eastAsia" w:ascii="宋体" w:hAnsi="宋体" w:eastAsia="宋体" w:cs="宋体"/>
          <w:b/>
          <w:bCs/>
          <w:sz w:val="44"/>
          <w:szCs w:val="44"/>
        </w:rPr>
        <w:t>“</w:t>
      </w:r>
      <w:r>
        <w:rPr>
          <w:rFonts w:hint="eastAsia" w:ascii="宋体" w:hAnsi="宋体" w:cs="宋体"/>
          <w:b/>
          <w:bCs/>
          <w:sz w:val="44"/>
          <w:szCs w:val="44"/>
          <w:lang w:val="en-US" w:eastAsia="zh-CN"/>
        </w:rPr>
        <w:t>4</w:t>
      </w:r>
      <w:r>
        <w:rPr>
          <w:rFonts w:hint="eastAsia" w:ascii="宋体" w:hAnsi="宋体" w:eastAsia="宋体" w:cs="宋体"/>
          <w:b/>
          <w:bCs/>
          <w:sz w:val="44"/>
          <w:szCs w:val="44"/>
        </w:rPr>
        <w:t>·</w:t>
      </w:r>
      <w:r>
        <w:rPr>
          <w:rFonts w:hint="eastAsia" w:ascii="宋体" w:hAnsi="宋体" w:cs="宋体"/>
          <w:b/>
          <w:bCs/>
          <w:sz w:val="44"/>
          <w:szCs w:val="44"/>
          <w:lang w:val="en-US" w:eastAsia="zh-CN"/>
        </w:rPr>
        <w:t>8</w:t>
      </w:r>
      <w:r>
        <w:rPr>
          <w:rFonts w:hint="eastAsia" w:ascii="宋体" w:hAnsi="宋体" w:eastAsia="宋体" w:cs="宋体"/>
          <w:b/>
          <w:bCs/>
          <w:sz w:val="44"/>
          <w:szCs w:val="44"/>
          <w:lang w:eastAsia="zh-CN"/>
        </w:rPr>
        <w:t>”</w:t>
      </w:r>
      <w:r>
        <w:rPr>
          <w:rFonts w:hint="eastAsia" w:ascii="宋体" w:hAnsi="宋体" w:eastAsia="宋体" w:cs="宋体"/>
          <w:b/>
          <w:bCs/>
          <w:sz w:val="44"/>
          <w:szCs w:val="44"/>
        </w:rPr>
        <w:t>一般高处坠落</w:t>
      </w:r>
    </w:p>
    <w:p w14:paraId="63A438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事故调查报告</w:t>
      </w:r>
    </w:p>
    <w:p w14:paraId="40D61D69">
      <w:pPr>
        <w:pStyle w:val="7"/>
        <w:keepNext w:val="0"/>
        <w:keepLines w:val="0"/>
        <w:pageBreakBefore w:val="0"/>
        <w:kinsoku/>
        <w:wordWrap/>
        <w:overflowPunct/>
        <w:topLinePunct w:val="0"/>
        <w:autoSpaceDE/>
        <w:autoSpaceDN/>
        <w:bidi w:val="0"/>
        <w:adjustRightInd/>
        <w:spacing w:line="560" w:lineRule="exact"/>
        <w:textAlignment w:val="auto"/>
        <w:rPr>
          <w:rFonts w:hint="eastAsia" w:ascii="宋体" w:hAnsi="宋体" w:cs="宋体"/>
          <w:b/>
          <w:bCs/>
          <w:sz w:val="44"/>
          <w:szCs w:val="44"/>
        </w:rPr>
      </w:pPr>
    </w:p>
    <w:p w14:paraId="51C8DA9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时</w:t>
      </w:r>
      <w:r>
        <w:rPr>
          <w:rFonts w:hint="eastAsia" w:ascii="仿宋_GB2312" w:hAnsi="仿宋_GB2312" w:eastAsia="仿宋_GB2312" w:cs="仿宋_GB2312"/>
          <w:color w:val="auto"/>
          <w:sz w:val="32"/>
          <w:szCs w:val="32"/>
          <w:highlight w:val="none"/>
          <w:lang w:val="en-US" w:eastAsia="zh-CN"/>
        </w:rPr>
        <w:t>40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sz w:val="32"/>
          <w:szCs w:val="32"/>
        </w:rPr>
        <w:t>许，</w:t>
      </w:r>
      <w:r>
        <w:rPr>
          <w:rFonts w:hint="eastAsia" w:ascii="仿宋_GB2312" w:hAnsi="仿宋_GB2312" w:eastAsia="仿宋_GB2312" w:cs="仿宋_GB2312"/>
          <w:b w:val="0"/>
          <w:bCs w:val="0"/>
          <w:sz w:val="32"/>
          <w:szCs w:val="32"/>
          <w:lang w:val="en-US" w:eastAsia="zh-CN"/>
        </w:rPr>
        <w:t>辽宁龙宇建设有限公司</w:t>
      </w:r>
      <w:r>
        <w:rPr>
          <w:rFonts w:hint="eastAsia" w:ascii="仿宋_GB2312" w:hAnsi="仿宋_GB2312" w:eastAsia="仿宋_GB2312" w:cs="仿宋_GB2312"/>
          <w:color w:val="auto"/>
          <w:sz w:val="32"/>
          <w:szCs w:val="32"/>
          <w:lang w:val="en-US" w:eastAsia="zh-CN"/>
        </w:rPr>
        <w:t>1名员工</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抚顺市望花区沈抚路18号的抚顺特殊钢股份有限责任公司轧钢厂（初轧）650成品跨厂房内天车轨道上收尾巡查</w:t>
      </w:r>
      <w:r>
        <w:rPr>
          <w:rFonts w:hint="eastAsia" w:ascii="仿宋" w:hAnsi="仿宋" w:eastAsia="仿宋" w:cs="仿宋_GB2312"/>
          <w:sz w:val="32"/>
          <w:szCs w:val="32"/>
          <w:lang w:eastAsia="zh-CN"/>
        </w:rPr>
        <w:t>时</w:t>
      </w:r>
      <w:r>
        <w:rPr>
          <w:rFonts w:hint="eastAsia" w:ascii="仿宋_GB2312" w:hAnsi="仿宋_GB2312" w:eastAsia="仿宋_GB2312" w:cs="仿宋_GB2312"/>
          <w:color w:val="auto"/>
          <w:sz w:val="32"/>
          <w:szCs w:val="32"/>
          <w:lang w:val="en-US" w:eastAsia="zh-CN"/>
        </w:rPr>
        <w:t>发生高处坠落，事故造成1人死亡，直接经济损失约</w:t>
      </w:r>
      <w:r>
        <w:rPr>
          <w:rFonts w:hint="eastAsia" w:ascii="仿宋_GB2312" w:hAnsi="仿宋_GB2312" w:eastAsia="仿宋_GB2312" w:cs="仿宋_GB2312"/>
          <w:color w:val="auto"/>
          <w:sz w:val="32"/>
          <w:szCs w:val="32"/>
          <w:highlight w:val="none"/>
          <w:lang w:val="en-US" w:eastAsia="zh-CN"/>
        </w:rPr>
        <w:t>150万</w:t>
      </w:r>
      <w:r>
        <w:rPr>
          <w:rFonts w:hint="eastAsia" w:ascii="仿宋_GB2312" w:hAnsi="仿宋_GB2312" w:eastAsia="仿宋_GB2312" w:cs="仿宋_GB2312"/>
          <w:color w:val="auto"/>
          <w:sz w:val="32"/>
          <w:szCs w:val="32"/>
          <w:lang w:val="en-US" w:eastAsia="zh-CN"/>
        </w:rPr>
        <w:t>元，事故存在瞒报。</w:t>
      </w:r>
    </w:p>
    <w:p w14:paraId="382C31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color w:val="auto"/>
          <w:sz w:val="32"/>
          <w:szCs w:val="32"/>
          <w:lang w:val="en-US" w:eastAsia="zh-CN"/>
        </w:rPr>
        <w:t>4月11日，市应急局获得瞒报事故线索后立即会同市公安局开展核查，连夜查清事故发生和瞒报经过，并由市政府总值班室向省政府书面报告。</w:t>
      </w:r>
      <w:r>
        <w:rPr>
          <w:rFonts w:hint="eastAsia" w:ascii="仿宋" w:hAnsi="仿宋" w:eastAsia="仿宋" w:cs="仿宋"/>
          <w:sz w:val="32"/>
          <w:szCs w:val="32"/>
          <w:lang w:val="en-US" w:eastAsia="zh-CN"/>
        </w:rPr>
        <w:t>省政府主要领导、分管安全生产领导分别做出批示；市委、市政府负责同志要求速按省政府领导批示落实，组织力量彻查严办，公安部门严肃追查、依法打击，全市要进一步压实安全生产责任。</w:t>
      </w:r>
    </w:p>
    <w:p w14:paraId="6E7C90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kern w:val="2"/>
          <w:sz w:val="32"/>
          <w:szCs w:val="32"/>
          <w:lang w:val="en-US" w:eastAsia="zh-CN" w:bidi="ar-SA"/>
        </w:rPr>
      </w:pPr>
      <w:r>
        <w:rPr>
          <w:rFonts w:hint="eastAsia" w:ascii="仿宋" w:hAnsi="仿宋" w:eastAsia="仿宋" w:cs="仿宋"/>
          <w:bCs/>
          <w:color w:val="000000"/>
          <w:sz w:val="32"/>
          <w:szCs w:val="32"/>
          <w:lang w:eastAsia="zh-CN"/>
        </w:rPr>
        <w:t>抚顺市人民政府</w:t>
      </w:r>
      <w:r>
        <w:rPr>
          <w:rFonts w:hint="eastAsia" w:ascii="仿宋" w:hAnsi="仿宋" w:eastAsia="仿宋" w:cs="仿宋"/>
          <w:bCs/>
          <w:color w:val="000000"/>
          <w:sz w:val="32"/>
          <w:szCs w:val="32"/>
        </w:rPr>
        <w:t>依据《中华人民共和国安全生产法》《生产安全事故报告和调查处理条例》等法律法规，成立了由市应急局牵头，市公安局、</w:t>
      </w:r>
      <w:r>
        <w:rPr>
          <w:rFonts w:hint="eastAsia" w:ascii="仿宋_GB2312" w:hAnsi="仿宋_GB2312" w:eastAsia="仿宋_GB2312" w:cs="仿宋_GB2312"/>
          <w:kern w:val="1"/>
          <w:sz w:val="32"/>
          <w:szCs w:val="32"/>
        </w:rPr>
        <w:t>市总工会组成的</w:t>
      </w:r>
      <w:r>
        <w:rPr>
          <w:rFonts w:hint="eastAsia" w:ascii="仿宋_GB2312" w:hAnsi="仿宋_GB2312" w:eastAsia="仿宋_GB2312" w:cs="仿宋_GB2312"/>
          <w:kern w:val="1"/>
          <w:sz w:val="32"/>
          <w:szCs w:val="32"/>
          <w:lang w:val="en-US" w:eastAsia="zh-CN"/>
        </w:rPr>
        <w:t>抚顺望花龙宇公司轧钢厂天车轨道维修项目“4·8”一般高处坠落事故</w:t>
      </w:r>
      <w:r>
        <w:rPr>
          <w:rFonts w:hint="eastAsia" w:ascii="仿宋_GB2312" w:hAnsi="仿宋_GB2312" w:eastAsia="仿宋_GB2312" w:cs="仿宋_GB2312"/>
          <w:kern w:val="1"/>
          <w:sz w:val="32"/>
          <w:szCs w:val="32"/>
        </w:rPr>
        <w:t>调查组（以下简称“事故调查组”），</w:t>
      </w:r>
      <w:r>
        <w:rPr>
          <w:rFonts w:hint="eastAsia" w:ascii="仿宋" w:hAnsi="仿宋" w:eastAsia="仿宋"/>
          <w:sz w:val="32"/>
          <w:szCs w:val="32"/>
        </w:rPr>
        <w:t>开展事故调查工作</w:t>
      </w:r>
      <w:r>
        <w:rPr>
          <w:rFonts w:hint="eastAsia" w:ascii="仿宋" w:hAnsi="仿宋" w:eastAsia="仿宋"/>
          <w:sz w:val="32"/>
          <w:szCs w:val="32"/>
          <w:lang w:eastAsia="zh-CN"/>
        </w:rPr>
        <w:t>，</w:t>
      </w:r>
      <w:r>
        <w:rPr>
          <w:rFonts w:hint="eastAsia" w:ascii="仿宋" w:hAnsi="仿宋" w:eastAsia="仿宋"/>
          <w:sz w:val="32"/>
          <w:szCs w:val="32"/>
        </w:rPr>
        <w:t>事故调查组聘请了有关专家参与调查，市纪委监委全程监督。</w:t>
      </w:r>
      <w:r>
        <w:rPr>
          <w:rFonts w:hint="eastAsia" w:ascii="仿宋" w:hAnsi="仿宋" w:eastAsia="仿宋" w:cs="仿宋"/>
          <w:bCs/>
          <w:kern w:val="2"/>
          <w:sz w:val="32"/>
          <w:szCs w:val="32"/>
          <w:lang w:val="en-US" w:eastAsia="zh-CN" w:bidi="ar-SA"/>
        </w:rPr>
        <w:t>市公安局成立了</w:t>
      </w:r>
      <w:r>
        <w:rPr>
          <w:rFonts w:hint="eastAsia" w:ascii="仿宋_GB2312" w:hAnsi="仿宋_GB2312" w:eastAsia="仿宋_GB2312" w:cs="仿宋_GB2312"/>
          <w:color w:val="auto"/>
          <w:kern w:val="1"/>
          <w:sz w:val="32"/>
          <w:szCs w:val="32"/>
          <w:lang w:val="en-US" w:eastAsia="zh-CN"/>
        </w:rPr>
        <w:t>“4·8”瞒报调查</w:t>
      </w:r>
      <w:r>
        <w:rPr>
          <w:rFonts w:hint="eastAsia" w:ascii="仿宋" w:hAnsi="仿宋" w:eastAsia="仿宋" w:cs="仿宋"/>
          <w:bCs/>
          <w:color w:val="auto"/>
          <w:kern w:val="2"/>
          <w:sz w:val="32"/>
          <w:szCs w:val="32"/>
          <w:lang w:val="en-US" w:eastAsia="zh-CN" w:bidi="ar-SA"/>
        </w:rPr>
        <w:t>专案组</w:t>
      </w:r>
      <w:r>
        <w:rPr>
          <w:rFonts w:hint="eastAsia" w:ascii="仿宋" w:hAnsi="仿宋" w:eastAsia="仿宋" w:cs="仿宋"/>
          <w:bCs/>
          <w:kern w:val="2"/>
          <w:sz w:val="32"/>
          <w:szCs w:val="32"/>
          <w:lang w:val="en-US" w:eastAsia="zh-CN" w:bidi="ar-SA"/>
        </w:rPr>
        <w:t>，同步开展立案侦查。省安全生产委员会对事故调查处理工作挂牌跟踪督办。</w:t>
      </w:r>
    </w:p>
    <w:p w14:paraId="1597C6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事故调查组坚持“科学严谨、依法依规、实事求是、注重实效”和“四不放过”的原则，通过</w:t>
      </w:r>
      <w:r>
        <w:rPr>
          <w:rFonts w:hint="eastAsia" w:ascii="仿宋_GB2312" w:hAnsi="仿宋_GB2312" w:eastAsia="仿宋_GB2312" w:cs="仿宋_GB2312"/>
          <w:color w:val="000000"/>
          <w:sz w:val="32"/>
          <w:szCs w:val="32"/>
        </w:rPr>
        <w:t>现场勘察、</w:t>
      </w:r>
      <w:r>
        <w:rPr>
          <w:rFonts w:hint="eastAsia" w:ascii="仿宋_GB2312" w:hAnsi="仿宋_GB2312" w:eastAsia="仿宋_GB2312" w:cs="仿宋_GB2312"/>
          <w:sz w:val="32"/>
          <w:szCs w:val="32"/>
        </w:rPr>
        <w:t>查阅资料、</w:t>
      </w:r>
      <w:r>
        <w:rPr>
          <w:rFonts w:hint="eastAsia" w:ascii="仿宋_GB2312" w:hAnsi="仿宋_GB2312" w:eastAsia="仿宋_GB2312" w:cs="仿宋_GB2312"/>
          <w:color w:val="000000"/>
          <w:sz w:val="32"/>
          <w:szCs w:val="32"/>
        </w:rPr>
        <w:t>对相关人员询问、收集有关物证和书证</w:t>
      </w:r>
      <w:r>
        <w:rPr>
          <w:rFonts w:hint="eastAsia" w:ascii="仿宋_GB2312" w:hAnsi="仿宋_GB2312" w:eastAsia="仿宋_GB2312" w:cs="仿宋_GB2312"/>
          <w:kern w:val="1"/>
          <w:sz w:val="32"/>
          <w:szCs w:val="32"/>
        </w:rPr>
        <w:t>，查清了事故发生的经过、原因和应急处置情况</w:t>
      </w:r>
      <w:r>
        <w:rPr>
          <w:rFonts w:hint="eastAsia" w:ascii="仿宋_GB2312" w:hAnsi="仿宋_GB2312" w:eastAsia="仿宋_GB2312" w:cs="仿宋_GB2312"/>
          <w:kern w:val="1"/>
          <w:sz w:val="32"/>
          <w:szCs w:val="32"/>
          <w:lang w:eastAsia="zh-CN"/>
        </w:rPr>
        <w:t>以及瞒报过程</w:t>
      </w:r>
      <w:r>
        <w:rPr>
          <w:rFonts w:hint="eastAsia" w:ascii="仿宋_GB2312" w:hAnsi="仿宋_GB2312" w:eastAsia="仿宋_GB2312" w:cs="仿宋_GB2312"/>
          <w:kern w:val="1"/>
          <w:sz w:val="32"/>
          <w:szCs w:val="32"/>
        </w:rPr>
        <w:t>，认定了事故的性质和责任，</w:t>
      </w:r>
      <w:r>
        <w:rPr>
          <w:rFonts w:hint="eastAsia" w:ascii="仿宋_GB2312" w:hAnsi="仿宋_GB2312" w:eastAsia="仿宋_GB2312" w:cs="仿宋_GB2312"/>
          <w:color w:val="000000"/>
          <w:sz w:val="32"/>
          <w:szCs w:val="32"/>
        </w:rPr>
        <w:t>提出了对责任</w:t>
      </w:r>
      <w:r>
        <w:rPr>
          <w:rFonts w:hint="eastAsia" w:ascii="仿宋_GB2312" w:hAnsi="仿宋_GB2312" w:eastAsia="仿宋_GB2312" w:cs="仿宋_GB2312"/>
          <w:color w:val="000000"/>
          <w:sz w:val="32"/>
          <w:szCs w:val="32"/>
          <w:lang w:val="en-US" w:eastAsia="zh-CN"/>
        </w:rPr>
        <w:t>人员</w:t>
      </w:r>
      <w:r>
        <w:rPr>
          <w:rFonts w:hint="eastAsia" w:ascii="仿宋_GB2312" w:hAnsi="仿宋_GB2312" w:eastAsia="仿宋_GB2312" w:cs="仿宋_GB2312"/>
          <w:color w:val="000000"/>
          <w:sz w:val="32"/>
          <w:szCs w:val="32"/>
        </w:rPr>
        <w:t>、责任单位和有关单位的处理建议，事故整改及防范措施。</w:t>
      </w:r>
    </w:p>
    <w:p w14:paraId="29015567">
      <w:pPr>
        <w:keepNext w:val="0"/>
        <w:keepLines w:val="0"/>
        <w:pageBreakBefore w:val="0"/>
        <w:kinsoku/>
        <w:wordWrap/>
        <w:overflowPunct/>
        <w:topLinePunct w:val="0"/>
        <w:autoSpaceDE/>
        <w:autoSpaceDN/>
        <w:bidi w:val="0"/>
        <w:adjustRightInd/>
        <w:snapToGrid/>
        <w:spacing w:line="560" w:lineRule="exact"/>
        <w:ind w:left="59" w:firstLine="64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经调查认定，“</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8</w:t>
      </w:r>
      <w:r>
        <w:rPr>
          <w:rFonts w:hint="eastAsia" w:ascii="仿宋_GB2312" w:hAnsi="仿宋_GB2312" w:eastAsia="仿宋_GB2312" w:cs="仿宋_GB2312"/>
          <w:color w:val="000000"/>
          <w:sz w:val="32"/>
          <w:szCs w:val="32"/>
          <w:highlight w:val="none"/>
        </w:rPr>
        <w:t>”事故是一起</w:t>
      </w:r>
      <w:r>
        <w:rPr>
          <w:rFonts w:hint="eastAsia" w:ascii="仿宋_GB2312" w:hAnsi="仿宋_GB2312" w:eastAsia="仿宋_GB2312" w:cs="仿宋_GB2312"/>
          <w:color w:val="000000"/>
          <w:sz w:val="32"/>
          <w:szCs w:val="32"/>
          <w:highlight w:val="none"/>
          <w:lang w:val="en-US" w:eastAsia="zh-CN"/>
        </w:rPr>
        <w:t>因</w:t>
      </w:r>
      <w:r>
        <w:rPr>
          <w:rFonts w:hint="eastAsia" w:ascii="仿宋_GB2312" w:hAnsi="仿宋_GB2312" w:eastAsia="仿宋_GB2312" w:cs="仿宋_GB2312"/>
          <w:color w:val="auto"/>
          <w:sz w:val="32"/>
          <w:szCs w:val="32"/>
          <w:highlight w:val="none"/>
          <w:lang w:val="en-US" w:eastAsia="zh-CN"/>
        </w:rPr>
        <w:t>员工安全意识淡薄、个人严重违章，</w:t>
      </w:r>
      <w:r>
        <w:rPr>
          <w:rFonts w:hint="eastAsia" w:ascii="仿宋_GB2312" w:hAnsi="仿宋_GB2312" w:eastAsia="仿宋_GB2312" w:cs="仿宋_GB2312"/>
          <w:b w:val="0"/>
          <w:bCs w:val="0"/>
          <w:sz w:val="32"/>
          <w:szCs w:val="32"/>
          <w:lang w:val="en-US" w:eastAsia="zh-CN"/>
        </w:rPr>
        <w:t>辽宁龙宇建设有限公司</w:t>
      </w:r>
      <w:r>
        <w:rPr>
          <w:rFonts w:hint="eastAsia" w:ascii="仿宋_GB2312" w:hAnsi="仿宋_GB2312" w:eastAsia="仿宋_GB2312" w:cs="仿宋_GB2312"/>
          <w:color w:val="auto"/>
          <w:sz w:val="32"/>
          <w:szCs w:val="32"/>
          <w:highlight w:val="none"/>
          <w:lang w:val="en-US" w:eastAsia="zh-CN"/>
        </w:rPr>
        <w:t>安全生产管理不到位</w:t>
      </w:r>
      <w:r>
        <w:rPr>
          <w:rFonts w:hint="eastAsia" w:ascii="仿宋_GB2312" w:hAnsi="仿宋_GB2312" w:eastAsia="仿宋_GB2312" w:cs="仿宋_GB2312"/>
          <w:color w:val="auto"/>
          <w:sz w:val="32"/>
          <w:szCs w:val="32"/>
          <w:highlight w:val="none"/>
        </w:rPr>
        <w:t>导致的生产安全责任事故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lang w:val="en-US" w:eastAsia="zh-CN"/>
        </w:rPr>
        <w:t>且</w:t>
      </w:r>
      <w:r>
        <w:rPr>
          <w:rFonts w:hint="eastAsia" w:ascii="仿宋_GB2312" w:hAnsi="仿宋_GB2312" w:eastAsia="仿宋_GB2312" w:cs="仿宋_GB2312"/>
          <w:b w:val="0"/>
          <w:bCs w:val="0"/>
          <w:sz w:val="32"/>
          <w:szCs w:val="32"/>
          <w:lang w:val="en-US" w:eastAsia="zh-CN"/>
        </w:rPr>
        <w:t>辽宁龙宇建设有限公司</w:t>
      </w:r>
      <w:r>
        <w:rPr>
          <w:rFonts w:hint="eastAsia" w:ascii="仿宋_GB2312" w:hAnsi="仿宋_GB2312" w:eastAsia="仿宋_GB2312" w:cs="仿宋_GB2312"/>
          <w:color w:val="000000"/>
          <w:sz w:val="32"/>
          <w:szCs w:val="32"/>
          <w:lang w:val="en-US" w:eastAsia="zh-CN"/>
        </w:rPr>
        <w:t>有关责任人对事故瞒报</w:t>
      </w:r>
      <w:r>
        <w:rPr>
          <w:rFonts w:hint="eastAsia" w:ascii="仿宋_GB2312" w:hAnsi="仿宋_GB2312" w:eastAsia="仿宋_GB2312" w:cs="仿宋_GB2312"/>
          <w:color w:val="000000"/>
          <w:sz w:val="32"/>
          <w:szCs w:val="32"/>
          <w:highlight w:val="none"/>
        </w:rPr>
        <w:t>。现将有关情况报告如下：</w:t>
      </w:r>
    </w:p>
    <w:p w14:paraId="5D8C6C7D">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一、事故基本情况</w:t>
      </w:r>
    </w:p>
    <w:p w14:paraId="3DBCBB16">
      <w:pPr>
        <w:keepNext w:val="0"/>
        <w:keepLines w:val="0"/>
        <w:pageBreakBefore w:val="0"/>
        <w:kinsoku/>
        <w:wordWrap/>
        <w:overflowPunct/>
        <w:topLinePunct w:val="0"/>
        <w:autoSpaceDE w:val="0"/>
        <w:autoSpaceDN w:val="0"/>
        <w:bidi w:val="0"/>
        <w:adjustRightInd w:val="0"/>
        <w:spacing w:line="560" w:lineRule="exact"/>
        <w:ind w:left="420"/>
        <w:textAlignment w:val="auto"/>
        <w:outlineLvl w:val="1"/>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（一）工程项目及承包施工概况</w:t>
      </w:r>
    </w:p>
    <w:p w14:paraId="23FB35C5">
      <w:pPr>
        <w:keepNext w:val="0"/>
        <w:keepLines w:val="0"/>
        <w:pageBreakBefore w:val="0"/>
        <w:numPr>
          <w:ilvl w:val="0"/>
          <w:numId w:val="0"/>
        </w:numPr>
        <w:kinsoku/>
        <w:wordWrap/>
        <w:overflowPunct/>
        <w:topLinePunct w:val="0"/>
        <w:autoSpaceDE w:val="0"/>
        <w:autoSpaceDN w:val="0"/>
        <w:bidi w:val="0"/>
        <w:adjustRightInd w:val="0"/>
        <w:spacing w:line="560" w:lineRule="exact"/>
        <w:ind w:firstLine="643" w:firstLineChars="200"/>
        <w:textAlignment w:val="auto"/>
        <w:outlineLvl w:val="2"/>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1.</w:t>
      </w:r>
      <w:r>
        <w:rPr>
          <w:rFonts w:hint="eastAsia" w:ascii="仿宋_GB2312" w:hAnsi="仿宋_GB2312" w:eastAsia="仿宋_GB2312" w:cs="仿宋_GB2312"/>
          <w:b/>
          <w:sz w:val="32"/>
          <w:szCs w:val="32"/>
          <w:highlight w:val="none"/>
        </w:rPr>
        <w:t>工程项目概况</w:t>
      </w:r>
    </w:p>
    <w:p w14:paraId="6073BE45">
      <w:pPr>
        <w:keepNext w:val="0"/>
        <w:keepLines w:val="0"/>
        <w:pageBreakBefore w:val="0"/>
        <w:kinsoku/>
        <w:wordWrap/>
        <w:overflowPunct/>
        <w:topLinePunct w:val="0"/>
        <w:bidi w:val="0"/>
        <w:spacing w:line="560" w:lineRule="exact"/>
        <w:ind w:left="59" w:firstLine="640"/>
        <w:textAlignment w:val="auto"/>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抚顺特殊钢股份有限责任公司</w:t>
      </w:r>
      <w:r>
        <w:rPr>
          <w:rFonts w:hint="eastAsia" w:ascii="仿宋_GB2312" w:hAnsi="仿宋_GB2312" w:eastAsia="仿宋_GB2312" w:cs="仿宋_GB2312"/>
          <w:sz w:val="32"/>
          <w:szCs w:val="32"/>
          <w:lang w:val="en-US" w:eastAsia="zh-CN"/>
        </w:rPr>
        <w:t>轧钢厂(初轧)厂房已使用多年，天车栈桥二次灌浆层损坏脱落、压板松动缺失、铁道磨损断裂，天车运行存在风险，影响行车及员工安全，需更换天车轨道、维修栈桥基础、以及天车栈桥全部二次灌浆。具体主要包括：成品跨两侧天车轨道更换43kg/m型，其中混凝土天车梁部分(约152m)、钢梁部分(约48m)；退火跨两侧天车轨道更换43kg/m型，钢梁部分(约340m)。</w:t>
      </w:r>
    </w:p>
    <w:p w14:paraId="5EA18189">
      <w:pPr>
        <w:keepNext w:val="0"/>
        <w:keepLines w:val="0"/>
        <w:pageBreakBefore w:val="0"/>
        <w:numPr>
          <w:ilvl w:val="0"/>
          <w:numId w:val="0"/>
        </w:numPr>
        <w:kinsoku/>
        <w:wordWrap/>
        <w:overflowPunct/>
        <w:topLinePunct w:val="0"/>
        <w:autoSpaceDE w:val="0"/>
        <w:autoSpaceDN w:val="0"/>
        <w:bidi w:val="0"/>
        <w:adjustRightInd w:val="0"/>
        <w:spacing w:line="560" w:lineRule="exact"/>
        <w:ind w:firstLine="643" w:firstLineChars="200"/>
        <w:textAlignment w:val="auto"/>
        <w:outlineLvl w:val="2"/>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2.工程项目承包</w:t>
      </w:r>
      <w:r>
        <w:rPr>
          <w:rFonts w:hint="eastAsia" w:ascii="仿宋_GB2312" w:hAnsi="仿宋_GB2312" w:eastAsia="仿宋_GB2312" w:cs="仿宋_GB2312"/>
          <w:b/>
          <w:sz w:val="32"/>
          <w:szCs w:val="32"/>
          <w:highlight w:val="none"/>
          <w:lang w:val="en-US" w:eastAsia="zh-CN"/>
        </w:rPr>
        <w:t>施工</w:t>
      </w:r>
      <w:r>
        <w:rPr>
          <w:rFonts w:hint="eastAsia" w:ascii="仿宋_GB2312" w:hAnsi="仿宋_GB2312" w:eastAsia="仿宋_GB2312" w:cs="仿宋_GB2312"/>
          <w:b/>
          <w:sz w:val="32"/>
          <w:szCs w:val="32"/>
          <w:highlight w:val="none"/>
        </w:rPr>
        <w:t>情况</w:t>
      </w:r>
    </w:p>
    <w:p w14:paraId="356919B3">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（1）定作方：</w:t>
      </w:r>
      <w:r>
        <w:rPr>
          <w:rFonts w:hint="eastAsia" w:ascii="仿宋_GB2312" w:hAnsi="仿宋_GB2312" w:eastAsia="仿宋_GB2312" w:cs="仿宋_GB2312"/>
          <w:color w:val="auto"/>
          <w:sz w:val="32"/>
          <w:szCs w:val="32"/>
          <w:lang w:val="en-US" w:eastAsia="zh-CN"/>
        </w:rPr>
        <w:t>抚顺特殊钢股份有限责任公司</w:t>
      </w:r>
      <w:r>
        <w:rPr>
          <w:rFonts w:hint="eastAsia" w:ascii="仿宋_GB2312" w:hAnsi="仿宋_GB2312" w:eastAsia="仿宋_GB2312" w:cs="仿宋_GB2312"/>
          <w:sz w:val="32"/>
          <w:szCs w:val="32"/>
          <w:lang w:val="en-US" w:eastAsia="zh-CN"/>
        </w:rPr>
        <w:t>（以下简称“抚顺特钢公司”），承揽方：辽宁龙宇建设有限公司（以下简称“</w:t>
      </w:r>
      <w:r>
        <w:rPr>
          <w:rFonts w:hint="eastAsia" w:ascii="仿宋_GB2312" w:hAnsi="仿宋_GB2312" w:eastAsia="仿宋_GB2312" w:cs="仿宋_GB2312"/>
          <w:color w:val="auto"/>
          <w:sz w:val="32"/>
          <w:szCs w:val="32"/>
          <w:lang w:val="en-US" w:eastAsia="zh-CN"/>
        </w:rPr>
        <w:t>辽宁龙宇建设公司</w:t>
      </w:r>
      <w:r>
        <w:rPr>
          <w:rFonts w:hint="eastAsia" w:ascii="仿宋_GB2312" w:hAnsi="仿宋_GB2312" w:eastAsia="仿宋_GB2312" w:cs="仿宋_GB2312"/>
          <w:sz w:val="32"/>
          <w:szCs w:val="32"/>
          <w:lang w:val="en-US" w:eastAsia="zh-CN"/>
        </w:rPr>
        <w:t>”），双方于2025年11月30日签订了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kern w:val="1"/>
          <w:sz w:val="32"/>
          <w:szCs w:val="32"/>
          <w:lang w:val="en-US" w:eastAsia="zh-CN"/>
        </w:rPr>
        <w:t>轧钢厂（初轧）650成品跨、退火跨天车轨道维修项目技术协议</w:t>
      </w:r>
      <w:r>
        <w:rPr>
          <w:rFonts w:hint="eastAsia" w:ascii="仿宋_GB2312" w:hAnsi="仿宋_GB2312" w:eastAsia="仿宋_GB2312" w:cs="仿宋_GB2312"/>
          <w:color w:val="auto"/>
          <w:sz w:val="32"/>
          <w:szCs w:val="32"/>
          <w:lang w:val="en-US" w:eastAsia="zh-CN"/>
        </w:rPr>
        <w:t>》，项目工期：40天，根据现场生产情况可由定作方确定具体施工时间，分段施工。同时，双方签订了《外协单位安全协议书》《交叉作业安全协议书》，辽宁龙宇建设公司</w:t>
      </w:r>
      <w:r>
        <w:rPr>
          <w:rFonts w:hint="eastAsia" w:ascii="仿宋_GB2312" w:hAnsi="仿宋_GB2312" w:eastAsia="仿宋_GB2312" w:cs="仿宋_GB2312"/>
          <w:sz w:val="32"/>
          <w:szCs w:val="32"/>
          <w:lang w:val="en-US" w:eastAsia="zh-CN"/>
        </w:rPr>
        <w:t>签订了《安全承诺书》</w:t>
      </w:r>
      <w:r>
        <w:rPr>
          <w:rFonts w:hint="eastAsia" w:ascii="仿宋_GB2312" w:hAnsi="仿宋_GB2312" w:eastAsia="仿宋_GB2312" w:cs="仿宋_GB2312"/>
          <w:color w:val="auto"/>
          <w:sz w:val="32"/>
          <w:szCs w:val="32"/>
          <w:lang w:val="en-US" w:eastAsia="zh-CN"/>
        </w:rPr>
        <w:t>。</w:t>
      </w:r>
    </w:p>
    <w:p w14:paraId="6AC14974">
      <w:pPr>
        <w:keepNext w:val="0"/>
        <w:keepLines w:val="0"/>
        <w:pageBreakBefore w:val="0"/>
        <w:kinsoku/>
        <w:wordWrap/>
        <w:overflowPunct/>
        <w:topLinePunct w:val="0"/>
        <w:autoSpaceDE w:val="0"/>
        <w:bidi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（2）辽宁龙宇建设公司承揽工程项目后，将工程项目交给其公司员工于凤凯具体施工，于凤凯为工程项目实际负责人兼安全员，双方签订了《工程承包协议书》《安全生产协议书》。</w:t>
      </w:r>
    </w:p>
    <w:p w14:paraId="5D5F1ACD">
      <w:pPr>
        <w:keepNext w:val="0"/>
        <w:keepLines w:val="0"/>
        <w:pageBreakBefore w:val="0"/>
        <w:kinsoku/>
        <w:wordWrap/>
        <w:overflowPunct/>
        <w:topLinePunct w:val="0"/>
        <w:autoSpaceDE w:val="0"/>
        <w:autoSpaceDN w:val="0"/>
        <w:bidi w:val="0"/>
        <w:adjustRightInd w:val="0"/>
        <w:spacing w:line="560" w:lineRule="exact"/>
        <w:ind w:left="420"/>
        <w:textAlignment w:val="auto"/>
        <w:outlineLvl w:val="1"/>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lang w:eastAsia="zh-CN"/>
        </w:rPr>
        <w:t>（</w:t>
      </w:r>
      <w:r>
        <w:rPr>
          <w:rFonts w:hint="eastAsia" w:ascii="楷体_GB2312" w:hAnsi="楷体_GB2312" w:eastAsia="楷体_GB2312" w:cs="楷体_GB2312"/>
          <w:b/>
          <w:sz w:val="32"/>
          <w:szCs w:val="32"/>
          <w:highlight w:val="none"/>
          <w:lang w:val="en-US" w:eastAsia="zh-CN"/>
        </w:rPr>
        <w:t>二</w:t>
      </w:r>
      <w:r>
        <w:rPr>
          <w:rFonts w:hint="eastAsia" w:ascii="楷体_GB2312" w:hAnsi="楷体_GB2312" w:eastAsia="楷体_GB2312" w:cs="楷体_GB2312"/>
          <w:b/>
          <w:sz w:val="32"/>
          <w:szCs w:val="32"/>
          <w:highlight w:val="none"/>
          <w:lang w:eastAsia="zh-CN"/>
        </w:rPr>
        <w:t>）</w:t>
      </w:r>
      <w:r>
        <w:rPr>
          <w:rFonts w:hint="eastAsia" w:ascii="楷体_GB2312" w:hAnsi="楷体_GB2312" w:eastAsia="楷体_GB2312" w:cs="楷体_GB2312"/>
          <w:b/>
          <w:sz w:val="32"/>
          <w:szCs w:val="32"/>
          <w:highlight w:val="none"/>
        </w:rPr>
        <w:t>有关单位概况</w:t>
      </w:r>
    </w:p>
    <w:p w14:paraId="6329AAFB">
      <w:pPr>
        <w:keepNext w:val="0"/>
        <w:keepLines w:val="0"/>
        <w:pageBreakBefore w:val="0"/>
        <w:numPr>
          <w:ilvl w:val="0"/>
          <w:numId w:val="0"/>
        </w:numPr>
        <w:kinsoku/>
        <w:wordWrap/>
        <w:overflowPunct/>
        <w:topLinePunct w:val="0"/>
        <w:autoSpaceDE w:val="0"/>
        <w:autoSpaceDN w:val="0"/>
        <w:bidi w:val="0"/>
        <w:adjustRightInd w:val="0"/>
        <w:spacing w:line="560" w:lineRule="exact"/>
        <w:ind w:firstLine="643" w:firstLineChars="200"/>
        <w:textAlignment w:val="auto"/>
        <w:outlineLvl w:val="2"/>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1.辽宁龙宇建设公司</w:t>
      </w:r>
    </w:p>
    <w:p w14:paraId="0387597A">
      <w:pPr>
        <w:keepNext w:val="0"/>
        <w:keepLines w:val="0"/>
        <w:pageBreakBefore w:val="0"/>
        <w:numPr>
          <w:ilvl w:val="0"/>
          <w:numId w:val="0"/>
        </w:numPr>
        <w:kinsoku/>
        <w:wordWrap/>
        <w:overflowPunct/>
        <w:topLinePunct w:val="0"/>
        <w:autoSpaceDE w:val="0"/>
        <w:autoSpaceDN w:val="0"/>
        <w:bidi w:val="0"/>
        <w:adjustRightInd w:val="0"/>
        <w:spacing w:line="560" w:lineRule="exact"/>
        <w:ind w:firstLine="640" w:firstLineChars="200"/>
        <w:textAlignment w:val="auto"/>
        <w:outlineLvl w:val="2"/>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工程项目</w:t>
      </w:r>
      <w:r>
        <w:rPr>
          <w:rFonts w:hint="eastAsia" w:ascii="仿宋_GB2312" w:hAnsi="仿宋_GB2312" w:eastAsia="仿宋_GB2312" w:cs="仿宋_GB2312"/>
          <w:bCs/>
          <w:sz w:val="32"/>
          <w:szCs w:val="32"/>
          <w:lang w:eastAsia="zh-CN"/>
        </w:rPr>
        <w:t>承揽、施工单位。公司</w:t>
      </w:r>
      <w:r>
        <w:rPr>
          <w:rFonts w:hint="eastAsia" w:ascii="仿宋" w:hAnsi="仿宋" w:eastAsia="仿宋" w:cs="仿宋"/>
          <w:bCs/>
          <w:sz w:val="32"/>
          <w:szCs w:val="32"/>
          <w:lang w:eastAsia="zh-CN"/>
        </w:rPr>
        <w:t>统</w:t>
      </w:r>
      <w:r>
        <w:rPr>
          <w:rFonts w:hint="eastAsia" w:ascii="仿宋" w:hAnsi="仿宋" w:eastAsia="仿宋" w:cs="仿宋"/>
          <w:sz w:val="32"/>
          <w:szCs w:val="32"/>
        </w:rPr>
        <w:t>一社会信用代码:912104006704688098</w:t>
      </w:r>
      <w:r>
        <w:rPr>
          <w:rFonts w:hint="eastAsia" w:ascii="仿宋" w:hAnsi="仿宋" w:eastAsia="仿宋" w:cs="仿宋"/>
          <w:sz w:val="32"/>
          <w:szCs w:val="32"/>
          <w:lang w:eastAsia="zh-CN"/>
        </w:rPr>
        <w:t>，</w:t>
      </w:r>
      <w:r>
        <w:rPr>
          <w:rFonts w:hint="eastAsia" w:ascii="仿宋" w:hAnsi="仿宋" w:eastAsia="仿宋" w:cs="仿宋"/>
          <w:sz w:val="32"/>
          <w:szCs w:val="32"/>
        </w:rPr>
        <w:t>类型：有限责任公司(自然人投资或控股)，</w:t>
      </w:r>
      <w:r>
        <w:rPr>
          <w:rFonts w:hint="eastAsia" w:ascii="仿宋" w:hAnsi="仿宋" w:eastAsia="仿宋" w:cs="仿宋"/>
          <w:bCs/>
          <w:color w:val="auto"/>
          <w:sz w:val="32"/>
          <w:szCs w:val="32"/>
          <w:lang w:eastAsia="zh-CN"/>
        </w:rPr>
        <w:t>实际控制人、董事长：</w:t>
      </w:r>
      <w:r>
        <w:rPr>
          <w:rFonts w:hint="eastAsia" w:ascii="仿宋_GB2312" w:hAnsi="仿宋_GB2312" w:eastAsia="仿宋_GB2312" w:cs="仿宋_GB2312"/>
          <w:color w:val="auto"/>
          <w:sz w:val="32"/>
          <w:szCs w:val="32"/>
          <w:lang w:val="en-US" w:eastAsia="zh-CN"/>
        </w:rPr>
        <w:t>马俊</w:t>
      </w:r>
      <w:r>
        <w:rPr>
          <w:rFonts w:hint="eastAsia" w:ascii="仿宋" w:hAnsi="仿宋" w:eastAsia="仿宋" w:cs="仿宋"/>
          <w:bCs/>
          <w:color w:val="auto"/>
          <w:sz w:val="32"/>
          <w:szCs w:val="32"/>
          <w:lang w:eastAsia="zh-CN"/>
        </w:rPr>
        <w:t>，</w:t>
      </w:r>
      <w:r>
        <w:rPr>
          <w:rFonts w:hint="eastAsia" w:ascii="仿宋_GB2312" w:hAnsi="仿宋_GB2312" w:eastAsia="仿宋_GB2312" w:cs="仿宋_GB2312"/>
          <w:bCs/>
          <w:sz w:val="32"/>
          <w:szCs w:val="32"/>
        </w:rPr>
        <w:t>法定代</w:t>
      </w:r>
      <w:r>
        <w:rPr>
          <w:rFonts w:hint="eastAsia" w:ascii="仿宋_GB2312" w:hAnsi="仿宋_GB2312" w:eastAsia="仿宋_GB2312" w:cs="仿宋_GB2312"/>
          <w:bCs/>
          <w:color w:val="auto"/>
          <w:sz w:val="32"/>
          <w:szCs w:val="32"/>
        </w:rPr>
        <w:t>表人</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lang w:val="en-US" w:eastAsia="zh-CN"/>
        </w:rPr>
        <w:t>总经理：</w:t>
      </w:r>
      <w:r>
        <w:rPr>
          <w:rFonts w:hint="eastAsia" w:ascii="仿宋" w:hAnsi="仿宋" w:eastAsia="仿宋" w:cs="仿宋"/>
          <w:bCs/>
          <w:color w:val="auto"/>
          <w:sz w:val="32"/>
          <w:szCs w:val="32"/>
          <w:highlight w:val="none"/>
          <w:lang w:eastAsia="zh-CN"/>
        </w:rPr>
        <w:t>裕乃德（负责沈阳片区业务）</w:t>
      </w:r>
      <w:r>
        <w:rPr>
          <w:rFonts w:hint="eastAsia" w:ascii="仿宋" w:hAnsi="仿宋" w:eastAsia="仿宋" w:cs="仿宋"/>
          <w:bCs/>
          <w:color w:val="auto"/>
          <w:sz w:val="32"/>
          <w:szCs w:val="32"/>
          <w:lang w:eastAsia="zh-CN"/>
        </w:rPr>
        <w:t>，</w:t>
      </w:r>
      <w:r>
        <w:rPr>
          <w:rFonts w:hint="eastAsia" w:ascii="仿宋" w:hAnsi="仿宋" w:eastAsia="仿宋" w:cs="仿宋"/>
          <w:color w:val="auto"/>
          <w:sz w:val="32"/>
          <w:szCs w:val="32"/>
        </w:rPr>
        <w:t>成立日</w:t>
      </w:r>
      <w:r>
        <w:rPr>
          <w:rFonts w:hint="eastAsia" w:ascii="仿宋" w:hAnsi="仿宋" w:eastAsia="仿宋" w:cs="仿宋"/>
          <w:sz w:val="32"/>
          <w:szCs w:val="32"/>
        </w:rPr>
        <w:t>期：</w:t>
      </w:r>
      <w:r>
        <w:rPr>
          <w:rFonts w:hint="eastAsia" w:ascii="仿宋" w:hAnsi="仿宋" w:eastAsia="仿宋" w:cs="仿宋"/>
          <w:sz w:val="32"/>
          <w:szCs w:val="32"/>
          <w:lang w:val="en-US" w:eastAsia="zh-CN"/>
        </w:rPr>
        <w:t>2008</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日，营业期限：2008</w:t>
      </w:r>
      <w:r>
        <w:rPr>
          <w:rFonts w:hint="eastAsia" w:ascii="仿宋" w:hAnsi="仿宋" w:eastAsia="仿宋" w:cs="仿宋"/>
          <w:sz w:val="32"/>
          <w:szCs w:val="32"/>
          <w:lang w:eastAsia="zh-CN"/>
        </w:rPr>
        <w:t>年</w:t>
      </w:r>
      <w:r>
        <w:rPr>
          <w:rFonts w:hint="eastAsia" w:ascii="仿宋" w:hAnsi="仿宋" w:eastAsia="仿宋" w:cs="仿宋"/>
          <w:sz w:val="32"/>
          <w:szCs w:val="32"/>
        </w:rPr>
        <w:t>1</w:t>
      </w:r>
      <w:r>
        <w:rPr>
          <w:rFonts w:hint="eastAsia" w:ascii="仿宋" w:hAnsi="仿宋" w:eastAsia="仿宋" w:cs="仿宋"/>
          <w:sz w:val="32"/>
          <w:szCs w:val="32"/>
          <w:lang w:eastAsia="zh-CN"/>
        </w:rPr>
        <w:t>月</w:t>
      </w:r>
      <w:r>
        <w:rPr>
          <w:rFonts w:hint="eastAsia" w:ascii="仿宋" w:hAnsi="仿宋" w:eastAsia="仿宋" w:cs="仿宋"/>
          <w:sz w:val="32"/>
          <w:szCs w:val="32"/>
        </w:rPr>
        <w:t>23</w:t>
      </w:r>
      <w:r>
        <w:rPr>
          <w:rFonts w:hint="eastAsia" w:ascii="仿宋" w:hAnsi="仿宋" w:eastAsia="仿宋" w:cs="仿宋"/>
          <w:sz w:val="32"/>
          <w:szCs w:val="32"/>
          <w:lang w:eastAsia="zh-CN"/>
        </w:rPr>
        <w:t>日</w:t>
      </w:r>
      <w:r>
        <w:rPr>
          <w:rFonts w:hint="eastAsia" w:ascii="仿宋" w:hAnsi="仿宋" w:eastAsia="仿宋" w:cs="仿宋"/>
          <w:sz w:val="32"/>
          <w:szCs w:val="32"/>
        </w:rPr>
        <w:t>至无固定期限，住所：辽宁省抚顺市清原满族自治县南口前镇</w:t>
      </w:r>
      <w:r>
        <w:rPr>
          <w:rFonts w:hint="eastAsia" w:ascii="仿宋" w:hAnsi="仿宋" w:eastAsia="仿宋" w:cs="仿宋"/>
          <w:sz w:val="32"/>
          <w:szCs w:val="32"/>
          <w:lang w:eastAsia="zh-CN"/>
        </w:rPr>
        <w:t>，</w:t>
      </w:r>
      <w:r>
        <w:rPr>
          <w:rFonts w:hint="eastAsia" w:ascii="仿宋" w:hAnsi="仿宋" w:eastAsia="仿宋" w:cs="仿宋"/>
          <w:sz w:val="32"/>
          <w:szCs w:val="32"/>
        </w:rPr>
        <w:t>经营范围：房屋建筑工程、地基与基础工程、建筑装修装饰工程、市政公用工程、金属门窗工程、建筑防水工程等</w:t>
      </w:r>
      <w:r>
        <w:rPr>
          <w:rFonts w:hint="eastAsia" w:ascii="仿宋" w:hAnsi="仿宋" w:eastAsia="仿宋" w:cs="仿宋"/>
          <w:sz w:val="36"/>
          <w:szCs w:val="36"/>
        </w:rPr>
        <w:t>。</w:t>
      </w:r>
      <w:r>
        <w:rPr>
          <w:rFonts w:hint="eastAsia" w:ascii="仿宋_GB2312" w:hAnsi="仿宋_GB2312" w:eastAsia="仿宋_GB2312" w:cs="仿宋_GB2312"/>
          <w:bCs/>
          <w:sz w:val="32"/>
          <w:szCs w:val="32"/>
          <w:lang w:val="en-US" w:eastAsia="zh-CN"/>
        </w:rPr>
        <w:t>登记机关：清原满族自治县市场监督管理局。</w:t>
      </w:r>
    </w:p>
    <w:p w14:paraId="7C2423D7">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sz w:val="32"/>
          <w:szCs w:val="32"/>
          <w:highlight w:val="none"/>
        </w:rPr>
        <w:t>建筑业企业资质证书编号：D121070508，资质等级：</w:t>
      </w:r>
      <w:r>
        <w:rPr>
          <w:rFonts w:hint="eastAsia" w:ascii="仿宋_GB2312" w:hAnsi="仿宋_GB2312" w:eastAsia="仿宋_GB2312" w:cs="仿宋_GB2312"/>
          <w:bCs/>
          <w:sz w:val="32"/>
          <w:szCs w:val="32"/>
          <w:highlight w:val="none"/>
          <w:lang w:val="en-US" w:eastAsia="zh-CN"/>
        </w:rPr>
        <w:t>建筑工程施工总承包壹级</w:t>
      </w:r>
      <w:r>
        <w:rPr>
          <w:rFonts w:hint="eastAsia" w:ascii="仿宋_GB2312" w:hAnsi="仿宋_GB2312" w:eastAsia="仿宋_GB2312" w:cs="仿宋_GB2312"/>
          <w:bCs/>
          <w:sz w:val="32"/>
          <w:szCs w:val="32"/>
          <w:highlight w:val="none"/>
        </w:rPr>
        <w:t>，有</w:t>
      </w:r>
      <w:r>
        <w:rPr>
          <w:rFonts w:hint="eastAsia" w:ascii="仿宋_GB2312" w:hAnsi="仿宋_GB2312" w:eastAsia="仿宋_GB2312" w:cs="仿宋_GB2312"/>
          <w:bCs/>
          <w:sz w:val="32"/>
          <w:szCs w:val="32"/>
          <w:highlight w:val="none"/>
          <w:lang w:val="en-US" w:eastAsia="zh-CN"/>
        </w:rPr>
        <w:t>效</w:t>
      </w:r>
      <w:r>
        <w:rPr>
          <w:rFonts w:hint="eastAsia" w:ascii="仿宋_GB2312" w:hAnsi="仿宋_GB2312" w:eastAsia="仿宋_GB2312" w:cs="仿宋_GB2312"/>
          <w:bCs/>
          <w:sz w:val="32"/>
          <w:szCs w:val="32"/>
          <w:highlight w:val="none"/>
        </w:rPr>
        <w:t>期</w:t>
      </w:r>
      <w:r>
        <w:rPr>
          <w:rFonts w:hint="eastAsia" w:ascii="仿宋_GB2312" w:hAnsi="仿宋_GB2312" w:eastAsia="仿宋_GB2312" w:cs="仿宋_GB2312"/>
          <w:bCs/>
          <w:sz w:val="32"/>
          <w:szCs w:val="32"/>
          <w:highlight w:val="none"/>
          <w:lang w:eastAsia="zh-CN"/>
        </w:rPr>
        <w:t>：至</w:t>
      </w:r>
      <w:r>
        <w:rPr>
          <w:rFonts w:hint="eastAsia" w:ascii="仿宋_GB2312" w:hAnsi="仿宋_GB2312" w:eastAsia="仿宋_GB2312" w:cs="仿宋_GB2312"/>
          <w:bCs/>
          <w:sz w:val="32"/>
          <w:szCs w:val="32"/>
          <w:highlight w:val="none"/>
        </w:rPr>
        <w:t>202</w:t>
      </w:r>
      <w:r>
        <w:rPr>
          <w:rFonts w:hint="eastAsia" w:ascii="仿宋_GB2312" w:hAnsi="仿宋_GB2312" w:eastAsia="仿宋_GB2312" w:cs="仿宋_GB2312"/>
          <w:bCs/>
          <w:sz w:val="32"/>
          <w:szCs w:val="32"/>
          <w:highlight w:val="none"/>
          <w:lang w:val="en-US" w:eastAsia="zh-CN"/>
        </w:rPr>
        <w:t>8</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12</w:t>
      </w:r>
      <w:r>
        <w:rPr>
          <w:rFonts w:hint="eastAsia" w:ascii="仿宋_GB2312" w:hAnsi="仿宋_GB2312" w:eastAsia="仿宋_GB2312" w:cs="仿宋_GB2312"/>
          <w:bCs/>
          <w:sz w:val="32"/>
          <w:szCs w:val="32"/>
          <w:highlight w:val="none"/>
        </w:rPr>
        <w:t>月2</w:t>
      </w:r>
      <w:r>
        <w:rPr>
          <w:rFonts w:hint="eastAsia" w:ascii="仿宋_GB2312" w:hAnsi="仿宋_GB2312" w:eastAsia="仿宋_GB2312" w:cs="仿宋_GB2312"/>
          <w:bCs/>
          <w:sz w:val="32"/>
          <w:szCs w:val="32"/>
          <w:highlight w:val="none"/>
          <w:lang w:val="en-US" w:eastAsia="zh-CN"/>
        </w:rPr>
        <w:t>2</w:t>
      </w:r>
      <w:r>
        <w:rPr>
          <w:rFonts w:hint="eastAsia" w:ascii="仿宋_GB2312" w:hAnsi="仿宋_GB2312" w:eastAsia="仿宋_GB2312" w:cs="仿宋_GB2312"/>
          <w:bCs/>
          <w:sz w:val="32"/>
          <w:szCs w:val="32"/>
          <w:highlight w:val="none"/>
        </w:rPr>
        <w:t>日</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color w:val="auto"/>
          <w:sz w:val="32"/>
          <w:szCs w:val="32"/>
          <w:highlight w:val="none"/>
          <w:lang w:eastAsia="zh-CN"/>
        </w:rPr>
        <w:t>发证机关：</w:t>
      </w:r>
      <w:r>
        <w:rPr>
          <w:rFonts w:hint="eastAsia" w:ascii="仿宋_GB2312" w:hAnsi="仿宋_GB2312" w:eastAsia="仿宋_GB2312" w:cs="仿宋_GB2312"/>
          <w:bCs/>
          <w:color w:val="auto"/>
          <w:sz w:val="32"/>
          <w:szCs w:val="32"/>
          <w:highlight w:val="none"/>
          <w:lang w:val="en-US" w:eastAsia="zh-CN"/>
        </w:rPr>
        <w:t>中华人民共和国住房和城乡建设部</w:t>
      </w:r>
      <w:r>
        <w:rPr>
          <w:rFonts w:hint="eastAsia" w:ascii="仿宋_GB2312" w:hAnsi="仿宋_GB2312" w:eastAsia="仿宋_GB2312" w:cs="仿宋_GB2312"/>
          <w:bCs/>
          <w:color w:val="auto"/>
          <w:sz w:val="32"/>
          <w:szCs w:val="32"/>
          <w:highlight w:val="none"/>
          <w:lang w:eastAsia="zh-CN"/>
        </w:rPr>
        <w:t>。</w:t>
      </w:r>
    </w:p>
    <w:p w14:paraId="000D7685">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default" w:ascii="仿宋_GB2312" w:hAnsi="仿宋_GB2312" w:eastAsia="仿宋_GB2312" w:cs="仿宋_GB2312"/>
          <w:bCs/>
          <w:sz w:val="32"/>
          <w:szCs w:val="32"/>
          <w:highlight w:val="yellow"/>
          <w:lang w:val="en-US" w:eastAsia="zh-CN"/>
        </w:rPr>
      </w:pPr>
      <w:r>
        <w:rPr>
          <w:rFonts w:hint="eastAsia" w:ascii="仿宋_GB2312" w:hAnsi="仿宋_GB2312" w:eastAsia="仿宋_GB2312" w:cs="仿宋_GB2312"/>
          <w:bCs/>
          <w:sz w:val="32"/>
          <w:szCs w:val="32"/>
          <w:highlight w:val="none"/>
        </w:rPr>
        <w:t>建筑业企业资质证书编号：D221035453，资质等级：</w:t>
      </w:r>
      <w:r>
        <w:rPr>
          <w:rFonts w:hint="eastAsia" w:ascii="仿宋_GB2312" w:hAnsi="仿宋_GB2312" w:eastAsia="仿宋_GB2312" w:cs="仿宋_GB2312"/>
          <w:bCs/>
          <w:sz w:val="32"/>
          <w:szCs w:val="32"/>
          <w:highlight w:val="none"/>
          <w:lang w:val="en-US" w:eastAsia="zh-CN"/>
        </w:rPr>
        <w:t>市政公用工程施工总承包贰级、机电工程施工总承包贰级、消防设施工程专业承包贰级、钢结构工程专业承包贰级、建筑装修装饰工程专业承包贰级、环保工程专业承包贰级</w:t>
      </w:r>
      <w:r>
        <w:rPr>
          <w:rFonts w:hint="eastAsia" w:ascii="仿宋_GB2312" w:hAnsi="仿宋_GB2312" w:eastAsia="仿宋_GB2312" w:cs="仿宋_GB2312"/>
          <w:bCs/>
          <w:sz w:val="32"/>
          <w:szCs w:val="32"/>
          <w:highlight w:val="none"/>
        </w:rPr>
        <w:t>，有</w:t>
      </w:r>
      <w:r>
        <w:rPr>
          <w:rFonts w:hint="eastAsia" w:ascii="仿宋_GB2312" w:hAnsi="仿宋_GB2312" w:eastAsia="仿宋_GB2312" w:cs="仿宋_GB2312"/>
          <w:bCs/>
          <w:sz w:val="32"/>
          <w:szCs w:val="32"/>
          <w:highlight w:val="none"/>
          <w:lang w:val="en-US" w:eastAsia="zh-CN"/>
        </w:rPr>
        <w:t>效</w:t>
      </w:r>
      <w:r>
        <w:rPr>
          <w:rFonts w:hint="eastAsia" w:ascii="仿宋_GB2312" w:hAnsi="仿宋_GB2312" w:eastAsia="仿宋_GB2312" w:cs="仿宋_GB2312"/>
          <w:bCs/>
          <w:sz w:val="32"/>
          <w:szCs w:val="32"/>
          <w:highlight w:val="none"/>
        </w:rPr>
        <w:t>期</w:t>
      </w:r>
      <w:r>
        <w:rPr>
          <w:rFonts w:hint="eastAsia" w:ascii="仿宋_GB2312" w:hAnsi="仿宋_GB2312" w:eastAsia="仿宋_GB2312" w:cs="仿宋_GB2312"/>
          <w:bCs/>
          <w:sz w:val="32"/>
          <w:szCs w:val="32"/>
          <w:highlight w:val="none"/>
          <w:lang w:eastAsia="zh-CN"/>
        </w:rPr>
        <w:t>：至</w:t>
      </w:r>
      <w:r>
        <w:rPr>
          <w:rFonts w:hint="eastAsia" w:ascii="仿宋_GB2312" w:hAnsi="仿宋_GB2312" w:eastAsia="仿宋_GB2312" w:cs="仿宋_GB2312"/>
          <w:bCs/>
          <w:sz w:val="32"/>
          <w:szCs w:val="32"/>
          <w:highlight w:val="none"/>
        </w:rPr>
        <w:t>20</w:t>
      </w:r>
      <w:r>
        <w:rPr>
          <w:rFonts w:hint="eastAsia" w:ascii="仿宋_GB2312" w:hAnsi="仿宋_GB2312" w:eastAsia="仿宋_GB2312" w:cs="仿宋_GB2312"/>
          <w:bCs/>
          <w:sz w:val="32"/>
          <w:szCs w:val="32"/>
          <w:highlight w:val="none"/>
          <w:lang w:val="en-US" w:eastAsia="zh-CN"/>
        </w:rPr>
        <w:t>29</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9</w:t>
      </w:r>
      <w:r>
        <w:rPr>
          <w:rFonts w:hint="eastAsia" w:ascii="仿宋_GB2312" w:hAnsi="仿宋_GB2312" w:eastAsia="仿宋_GB2312" w:cs="仿宋_GB2312"/>
          <w:bCs/>
          <w:sz w:val="32"/>
          <w:szCs w:val="32"/>
          <w:highlight w:val="none"/>
        </w:rPr>
        <w:t>月</w:t>
      </w:r>
      <w:r>
        <w:rPr>
          <w:rFonts w:hint="eastAsia" w:ascii="仿宋_GB2312" w:hAnsi="仿宋_GB2312" w:eastAsia="仿宋_GB2312" w:cs="仿宋_GB2312"/>
          <w:bCs/>
          <w:sz w:val="32"/>
          <w:szCs w:val="32"/>
          <w:highlight w:val="none"/>
          <w:lang w:val="en-US" w:eastAsia="zh-CN"/>
        </w:rPr>
        <w:t>9</w:t>
      </w:r>
      <w:r>
        <w:rPr>
          <w:rFonts w:hint="eastAsia" w:ascii="仿宋_GB2312" w:hAnsi="仿宋_GB2312" w:eastAsia="仿宋_GB2312" w:cs="仿宋_GB2312"/>
          <w:bCs/>
          <w:sz w:val="32"/>
          <w:szCs w:val="32"/>
          <w:highlight w:val="none"/>
        </w:rPr>
        <w:t>日</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发证机关：辽宁省住房和城乡建设厅。</w:t>
      </w:r>
    </w:p>
    <w:p w14:paraId="09E3B611">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default"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rPr>
        <w:t>安全生产许可证</w:t>
      </w:r>
      <w:r>
        <w:rPr>
          <w:rFonts w:hint="eastAsia" w:ascii="仿宋_GB2312" w:hAnsi="仿宋_GB2312" w:eastAsia="仿宋_GB2312" w:cs="仿宋_GB2312"/>
          <w:bCs/>
          <w:sz w:val="32"/>
          <w:szCs w:val="32"/>
          <w:highlight w:val="none"/>
          <w:lang w:eastAsia="zh-CN"/>
        </w:rPr>
        <w:t>书</w:t>
      </w:r>
      <w:r>
        <w:rPr>
          <w:rFonts w:hint="eastAsia" w:ascii="仿宋_GB2312" w:hAnsi="仿宋_GB2312" w:eastAsia="仿宋_GB2312" w:cs="仿宋_GB2312"/>
          <w:bCs/>
          <w:sz w:val="32"/>
          <w:szCs w:val="32"/>
          <w:highlight w:val="none"/>
        </w:rPr>
        <w:t>编号</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(辽)JZ安许证字[2009]005013</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许可范围：建筑施工，有效期：2024年</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月</w:t>
      </w:r>
      <w:r>
        <w:rPr>
          <w:rFonts w:hint="eastAsia" w:ascii="仿宋_GB2312" w:hAnsi="仿宋_GB2312" w:eastAsia="仿宋_GB2312" w:cs="仿宋_GB2312"/>
          <w:bCs/>
          <w:sz w:val="32"/>
          <w:szCs w:val="32"/>
          <w:highlight w:val="none"/>
          <w:lang w:val="en-US" w:eastAsia="zh-CN"/>
        </w:rPr>
        <w:t>7</w:t>
      </w:r>
      <w:r>
        <w:rPr>
          <w:rFonts w:hint="eastAsia" w:ascii="仿宋_GB2312" w:hAnsi="仿宋_GB2312" w:eastAsia="仿宋_GB2312" w:cs="仿宋_GB2312"/>
          <w:bCs/>
          <w:sz w:val="32"/>
          <w:szCs w:val="32"/>
          <w:highlight w:val="none"/>
        </w:rPr>
        <w:t>日至202</w:t>
      </w:r>
      <w:r>
        <w:rPr>
          <w:rFonts w:hint="eastAsia" w:ascii="仿宋_GB2312" w:hAnsi="仿宋_GB2312" w:eastAsia="仿宋_GB2312" w:cs="仿宋_GB2312"/>
          <w:bCs/>
          <w:sz w:val="32"/>
          <w:szCs w:val="32"/>
          <w:highlight w:val="none"/>
          <w:lang w:val="en-US" w:eastAsia="zh-CN"/>
        </w:rPr>
        <w:t>8</w:t>
      </w:r>
      <w:r>
        <w:rPr>
          <w:rFonts w:hint="eastAsia" w:ascii="仿宋_GB2312" w:hAnsi="仿宋_GB2312" w:eastAsia="仿宋_GB2312" w:cs="仿宋_GB2312"/>
          <w:bCs/>
          <w:sz w:val="32"/>
          <w:szCs w:val="32"/>
          <w:highlight w:val="none"/>
        </w:rPr>
        <w:t>年</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rPr>
        <w:t>月</w:t>
      </w:r>
      <w:r>
        <w:rPr>
          <w:rFonts w:hint="eastAsia" w:ascii="仿宋_GB2312" w:hAnsi="仿宋_GB2312" w:eastAsia="仿宋_GB2312" w:cs="仿宋_GB2312"/>
          <w:bCs/>
          <w:sz w:val="32"/>
          <w:szCs w:val="32"/>
          <w:highlight w:val="none"/>
          <w:lang w:val="en-US" w:eastAsia="zh-CN"/>
        </w:rPr>
        <w:t>6</w:t>
      </w:r>
      <w:r>
        <w:rPr>
          <w:rFonts w:hint="eastAsia" w:ascii="仿宋_GB2312" w:hAnsi="仿宋_GB2312" w:eastAsia="仿宋_GB2312" w:cs="仿宋_GB2312"/>
          <w:bCs/>
          <w:sz w:val="32"/>
          <w:szCs w:val="32"/>
          <w:highlight w:val="none"/>
        </w:rPr>
        <w:t>日</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发证机关：辽宁省住房和城乡建设厅。</w:t>
      </w:r>
    </w:p>
    <w:p w14:paraId="72C8BE19">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仿宋_GB2312" w:hAnsi="仿宋_GB2312" w:eastAsia="仿宋_GB2312" w:cs="仿宋_GB2312"/>
          <w:bCs/>
          <w:color w:val="auto"/>
          <w:sz w:val="32"/>
          <w:szCs w:val="32"/>
          <w:highlight w:val="none"/>
          <w:u w:val="none"/>
          <w:lang w:val="en-US" w:eastAsia="zh-CN"/>
        </w:rPr>
      </w:pPr>
      <w:r>
        <w:rPr>
          <w:rFonts w:hint="eastAsia" w:ascii="仿宋_GB2312" w:hAnsi="仿宋_GB2312" w:eastAsia="仿宋_GB2312" w:cs="仿宋_GB2312"/>
          <w:bCs/>
          <w:sz w:val="32"/>
          <w:szCs w:val="32"/>
          <w:lang w:eastAsia="zh-CN"/>
        </w:rPr>
        <w:t>辽宁龙宇建设公司承揽工程项目后成立了项目部，</w:t>
      </w:r>
      <w:r>
        <w:rPr>
          <w:rFonts w:hint="eastAsia" w:ascii="仿宋_GB2312" w:hAnsi="仿宋_GB2312" w:eastAsia="仿宋_GB2312" w:cs="仿宋_GB2312"/>
          <w:bCs/>
          <w:color w:val="auto"/>
          <w:sz w:val="32"/>
          <w:szCs w:val="32"/>
          <w:highlight w:val="none"/>
          <w:u w:val="none"/>
          <w:lang w:val="en-US" w:eastAsia="zh-CN"/>
        </w:rPr>
        <w:t>项目部项目经理为</w:t>
      </w:r>
      <w:r>
        <w:rPr>
          <w:rFonts w:hint="eastAsia" w:ascii="仿宋_GB2312" w:hAnsi="仿宋_GB2312" w:eastAsia="仿宋_GB2312" w:cs="仿宋_GB2312"/>
          <w:bCs/>
          <w:sz w:val="32"/>
          <w:szCs w:val="32"/>
          <w:lang w:eastAsia="zh-CN"/>
        </w:rPr>
        <w:t>辽宁龙宇建设公司副总经</w:t>
      </w:r>
      <w:r>
        <w:rPr>
          <w:rFonts w:hint="eastAsia" w:ascii="仿宋_GB2312" w:hAnsi="仿宋_GB2312" w:eastAsia="仿宋_GB2312" w:cs="仿宋_GB2312"/>
          <w:bCs/>
          <w:color w:val="auto"/>
          <w:sz w:val="32"/>
          <w:szCs w:val="32"/>
          <w:lang w:eastAsia="zh-CN"/>
        </w:rPr>
        <w:t>理</w:t>
      </w:r>
      <w:r>
        <w:rPr>
          <w:rFonts w:hint="eastAsia" w:ascii="仿宋_GB2312" w:hAnsi="仿宋_GB2312" w:eastAsia="仿宋_GB2312" w:cs="仿宋_GB2312"/>
          <w:bCs/>
          <w:color w:val="auto"/>
          <w:sz w:val="32"/>
          <w:szCs w:val="32"/>
          <w:highlight w:val="none"/>
          <w:u w:val="none"/>
          <w:lang w:val="en-US" w:eastAsia="zh-CN"/>
        </w:rPr>
        <w:t>王世伟（项目经理资格齐全且在有效期内），王世伟事发前未在施工作业现场履职，于凤凯</w:t>
      </w:r>
      <w:r>
        <w:rPr>
          <w:rFonts w:hint="eastAsia" w:ascii="仿宋_GB2312" w:hAnsi="仿宋_GB2312" w:eastAsia="仿宋_GB2312" w:cs="仿宋_GB2312"/>
          <w:color w:val="auto"/>
          <w:sz w:val="32"/>
          <w:szCs w:val="32"/>
          <w:lang w:val="en-US" w:eastAsia="zh-CN"/>
        </w:rPr>
        <w:t>为工程项目实际负责人兼安全员</w:t>
      </w:r>
      <w:r>
        <w:rPr>
          <w:rFonts w:hint="eastAsia" w:ascii="仿宋_GB2312" w:hAnsi="仿宋_GB2312" w:eastAsia="仿宋_GB2312" w:cs="仿宋_GB2312"/>
          <w:bCs/>
          <w:color w:val="auto"/>
          <w:sz w:val="32"/>
          <w:szCs w:val="32"/>
          <w:highlight w:val="none"/>
          <w:u w:val="none"/>
          <w:lang w:val="en-US" w:eastAsia="zh-CN"/>
        </w:rPr>
        <w:t>，另一名安全员为谢宝东（安全生产</w:t>
      </w:r>
      <w:r>
        <w:rPr>
          <w:rFonts w:hint="eastAsia" w:ascii="仿宋_GB2312" w:hAnsi="仿宋_GB2312" w:eastAsia="仿宋_GB2312" w:cs="仿宋_GB2312"/>
          <w:bCs/>
          <w:sz w:val="32"/>
          <w:szCs w:val="32"/>
          <w:highlight w:val="none"/>
          <w:lang w:val="en-US" w:eastAsia="zh-CN"/>
        </w:rPr>
        <w:t>有关资格齐全且在有效期内</w:t>
      </w:r>
      <w:r>
        <w:rPr>
          <w:rFonts w:hint="eastAsia" w:ascii="仿宋_GB2312" w:hAnsi="仿宋_GB2312" w:eastAsia="仿宋_GB2312" w:cs="仿宋_GB2312"/>
          <w:bCs/>
          <w:color w:val="auto"/>
          <w:sz w:val="32"/>
          <w:szCs w:val="32"/>
          <w:highlight w:val="none"/>
          <w:u w:val="none"/>
          <w:lang w:val="en-US" w:eastAsia="zh-CN"/>
        </w:rPr>
        <w:t>）。</w:t>
      </w:r>
    </w:p>
    <w:p w14:paraId="32880542">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textAlignment w:val="auto"/>
        <w:rPr>
          <w:rFonts w:hint="eastAsia" w:ascii="仿宋_GB2312" w:hAnsi="仿宋_GB2312" w:eastAsia="仿宋_GB2312" w:cs="仿宋_GB2312"/>
          <w:bCs/>
          <w:color w:val="auto"/>
          <w:sz w:val="32"/>
          <w:szCs w:val="32"/>
          <w:highlight w:val="none"/>
          <w:u w:val="none"/>
          <w:lang w:val="en-US" w:eastAsia="zh-CN"/>
        </w:rPr>
      </w:pPr>
      <w:r>
        <w:rPr>
          <w:rFonts w:hint="eastAsia" w:ascii="仿宋" w:hAnsi="仿宋" w:eastAsia="仿宋" w:cs="仿宋"/>
          <w:b w:val="0"/>
          <w:bCs/>
          <w:color w:val="000000"/>
          <w:kern w:val="2"/>
          <w:sz w:val="32"/>
          <w:szCs w:val="32"/>
          <w:highlight w:val="none"/>
          <w:lang w:val="en-US" w:eastAsia="zh-CN" w:bidi="ar-SA"/>
        </w:rPr>
        <w:t>死者：董伟，性别：男，年龄：53岁，</w:t>
      </w:r>
      <w:r>
        <w:rPr>
          <w:rFonts w:hint="eastAsia" w:ascii="仿宋" w:hAnsi="仿宋" w:eastAsia="仿宋" w:cs="仿宋"/>
          <w:bCs/>
          <w:sz w:val="32"/>
          <w:szCs w:val="32"/>
          <w:highlight w:val="none"/>
          <w:lang w:val="en-US" w:eastAsia="zh-CN"/>
        </w:rPr>
        <w:t>工作单位：</w:t>
      </w:r>
      <w:r>
        <w:rPr>
          <w:rFonts w:hint="eastAsia" w:ascii="仿宋" w:hAnsi="仿宋" w:eastAsia="仿宋" w:cs="仿宋"/>
          <w:b w:val="0"/>
          <w:bCs/>
          <w:color w:val="auto"/>
          <w:kern w:val="0"/>
          <w:sz w:val="32"/>
          <w:szCs w:val="32"/>
          <w:highlight w:val="none"/>
          <w:lang w:val="en-US" w:eastAsia="zh-CN"/>
        </w:rPr>
        <w:t>辽宁龙宇建设公司</w:t>
      </w:r>
      <w:r>
        <w:rPr>
          <w:rFonts w:hint="eastAsia" w:ascii="仿宋" w:hAnsi="仿宋" w:eastAsia="仿宋" w:cs="仿宋"/>
          <w:b w:val="0"/>
          <w:bCs/>
          <w:color w:val="auto"/>
          <w:sz w:val="32"/>
          <w:szCs w:val="32"/>
          <w:highlight w:val="none"/>
          <w:lang w:val="en-US" w:eastAsia="zh-CN"/>
        </w:rPr>
        <w:t>，</w:t>
      </w:r>
      <w:r>
        <w:rPr>
          <w:rFonts w:hint="eastAsia" w:ascii="仿宋" w:hAnsi="仿宋" w:eastAsia="仿宋" w:cs="仿宋"/>
          <w:bCs/>
          <w:color w:val="auto"/>
          <w:sz w:val="32"/>
          <w:szCs w:val="32"/>
          <w:highlight w:val="none"/>
          <w:lang w:val="en-US" w:eastAsia="zh-CN"/>
        </w:rPr>
        <w:t>工种：高处作业工，</w:t>
      </w:r>
      <w:r>
        <w:rPr>
          <w:rFonts w:hint="eastAsia" w:ascii="仿宋" w:hAnsi="仿宋" w:eastAsia="仿宋" w:cs="仿宋"/>
          <w:bCs/>
          <w:color w:val="auto"/>
          <w:kern w:val="2"/>
          <w:sz w:val="32"/>
          <w:szCs w:val="32"/>
          <w:highlight w:val="none"/>
          <w:lang w:val="en-US" w:eastAsia="zh-CN" w:bidi="ar-SA"/>
        </w:rPr>
        <w:t>其高处作业特种作业操作证在有效期内，并参加了抚顺特钢公司与辽宁龙宇建设公司的三级安全教育培训且培训考核合格。</w:t>
      </w:r>
    </w:p>
    <w:p w14:paraId="7E55A9E1">
      <w:pPr>
        <w:keepNext w:val="0"/>
        <w:keepLines w:val="0"/>
        <w:pageBreakBefore w:val="0"/>
        <w:numPr>
          <w:ilvl w:val="0"/>
          <w:numId w:val="0"/>
        </w:numPr>
        <w:kinsoku/>
        <w:wordWrap/>
        <w:overflowPunct/>
        <w:topLinePunct w:val="0"/>
        <w:autoSpaceDE w:val="0"/>
        <w:autoSpaceDN w:val="0"/>
        <w:bidi w:val="0"/>
        <w:adjustRightInd w:val="0"/>
        <w:spacing w:line="560" w:lineRule="exact"/>
        <w:ind w:firstLine="643" w:firstLineChars="200"/>
        <w:textAlignment w:val="auto"/>
        <w:outlineLvl w:val="2"/>
        <w:rPr>
          <w:rFonts w:hint="default"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2.抚顺特钢公司</w:t>
      </w:r>
    </w:p>
    <w:p w14:paraId="6124DC39">
      <w:pPr>
        <w:keepNext w:val="0"/>
        <w:keepLines w:val="0"/>
        <w:pageBreakBefore w:val="0"/>
        <w:kinsoku/>
        <w:wordWrap/>
        <w:overflowPunct/>
        <w:topLinePunct w:val="0"/>
        <w:bidi w:val="0"/>
        <w:snapToGrid/>
        <w:spacing w:line="560" w:lineRule="exact"/>
        <w:ind w:firstLine="640" w:firstLineChars="200"/>
        <w:textAlignment w:val="auto"/>
        <w:rPr>
          <w:rFonts w:hint="eastAsia" w:ascii="仿宋" w:hAnsi="仿宋" w:eastAsia="仿宋" w:cs="仿宋"/>
          <w:b/>
          <w:bCs w:val="0"/>
          <w:color w:val="000000"/>
          <w:kern w:val="2"/>
          <w:sz w:val="32"/>
          <w:szCs w:val="32"/>
          <w:highlight w:val="yellow"/>
          <w:lang w:val="en-US" w:eastAsia="zh-CN" w:bidi="ar-SA"/>
        </w:rPr>
      </w:pPr>
      <w:r>
        <w:rPr>
          <w:rFonts w:hint="eastAsia" w:ascii="仿宋_GB2312" w:hAnsi="仿宋_GB2312" w:eastAsia="仿宋_GB2312" w:cs="仿宋_GB2312"/>
          <w:bCs/>
          <w:sz w:val="32"/>
          <w:szCs w:val="32"/>
        </w:rPr>
        <w:t>工程项目</w:t>
      </w:r>
      <w:r>
        <w:rPr>
          <w:rFonts w:hint="eastAsia" w:ascii="仿宋_GB2312" w:hAnsi="仿宋_GB2312" w:eastAsia="仿宋_GB2312" w:cs="仿宋_GB2312"/>
          <w:bCs/>
          <w:sz w:val="32"/>
          <w:szCs w:val="32"/>
          <w:lang w:val="en-US" w:eastAsia="zh-CN"/>
        </w:rPr>
        <w:t>定作</w:t>
      </w:r>
      <w:r>
        <w:rPr>
          <w:rFonts w:hint="eastAsia" w:ascii="仿宋_GB2312" w:hAnsi="仿宋_GB2312" w:eastAsia="仿宋_GB2312" w:cs="仿宋_GB2312"/>
          <w:bCs/>
          <w:sz w:val="32"/>
          <w:szCs w:val="32"/>
          <w:lang w:eastAsia="zh-CN"/>
        </w:rPr>
        <w:t>单位、发包单位。公司</w:t>
      </w:r>
      <w:r>
        <w:rPr>
          <w:rFonts w:hint="eastAsia" w:ascii="仿宋" w:hAnsi="仿宋" w:eastAsia="仿宋" w:cs="仿宋"/>
          <w:bCs/>
          <w:sz w:val="32"/>
          <w:szCs w:val="32"/>
          <w:lang w:eastAsia="zh-CN"/>
        </w:rPr>
        <w:t>统</w:t>
      </w:r>
      <w:r>
        <w:rPr>
          <w:rFonts w:hint="eastAsia" w:ascii="仿宋" w:hAnsi="仿宋" w:eastAsia="仿宋" w:cs="仿宋"/>
          <w:sz w:val="32"/>
          <w:szCs w:val="32"/>
        </w:rPr>
        <w:t>一社会信用代码:9121000070181332XR</w:t>
      </w:r>
      <w:r>
        <w:rPr>
          <w:rFonts w:hint="eastAsia" w:ascii="仿宋" w:hAnsi="仿宋" w:eastAsia="仿宋" w:cs="仿宋"/>
          <w:sz w:val="32"/>
          <w:szCs w:val="32"/>
          <w:lang w:eastAsia="zh-CN"/>
        </w:rPr>
        <w:t>，</w:t>
      </w:r>
      <w:r>
        <w:rPr>
          <w:rFonts w:hint="eastAsia" w:ascii="仿宋" w:hAnsi="仿宋" w:eastAsia="仿宋" w:cs="仿宋"/>
          <w:sz w:val="32"/>
          <w:szCs w:val="32"/>
        </w:rPr>
        <w:t>类型：股份有限公司，</w:t>
      </w:r>
      <w:r>
        <w:rPr>
          <w:rFonts w:hint="eastAsia" w:ascii="仿宋_GB2312" w:hAnsi="仿宋_GB2312" w:eastAsia="仿宋_GB2312" w:cs="仿宋_GB2312"/>
          <w:bCs/>
          <w:sz w:val="32"/>
          <w:szCs w:val="32"/>
        </w:rPr>
        <w:t>法定代表人：</w:t>
      </w:r>
      <w:r>
        <w:rPr>
          <w:rFonts w:hint="eastAsia" w:ascii="仿宋" w:hAnsi="仿宋" w:eastAsia="仿宋" w:cs="仿宋"/>
          <w:bCs/>
          <w:color w:val="000000"/>
          <w:sz w:val="32"/>
          <w:szCs w:val="32"/>
          <w:highlight w:val="none"/>
          <w:lang w:eastAsia="zh-CN"/>
        </w:rPr>
        <w:t>孙立国</w:t>
      </w:r>
      <w:r>
        <w:rPr>
          <w:rFonts w:hint="eastAsia" w:ascii="仿宋" w:hAnsi="仿宋" w:eastAsia="仿宋" w:cs="仿宋"/>
          <w:bCs/>
          <w:color w:val="000000"/>
          <w:sz w:val="32"/>
          <w:szCs w:val="32"/>
          <w:lang w:eastAsia="zh-CN"/>
        </w:rPr>
        <w:t>，</w:t>
      </w:r>
      <w:r>
        <w:rPr>
          <w:rFonts w:hint="eastAsia" w:ascii="仿宋" w:hAnsi="仿宋" w:eastAsia="仿宋" w:cs="仿宋"/>
          <w:sz w:val="32"/>
          <w:szCs w:val="32"/>
        </w:rPr>
        <w:t>成立日期：1999年6月7日，营业期限：自1999年6月7日至长期，住所：抚顺市望花区鞍山路东段8号</w:t>
      </w:r>
      <w:r>
        <w:rPr>
          <w:rFonts w:hint="eastAsia" w:ascii="仿宋" w:hAnsi="仿宋" w:eastAsia="仿宋" w:cs="仿宋"/>
          <w:sz w:val="32"/>
          <w:szCs w:val="32"/>
          <w:lang w:eastAsia="zh-CN"/>
        </w:rPr>
        <w:t>，</w:t>
      </w:r>
      <w:r>
        <w:rPr>
          <w:rFonts w:hint="eastAsia" w:ascii="仿宋" w:hAnsi="仿宋" w:eastAsia="仿宋" w:cs="仿宋"/>
          <w:sz w:val="32"/>
          <w:szCs w:val="32"/>
        </w:rPr>
        <w:t>经营范围：钢冶炼，压延钢加工，冶金技术服务等</w:t>
      </w:r>
      <w:r>
        <w:rPr>
          <w:rFonts w:hint="eastAsia" w:ascii="仿宋" w:hAnsi="仿宋" w:eastAsia="仿宋" w:cs="仿宋"/>
          <w:sz w:val="36"/>
          <w:szCs w:val="36"/>
        </w:rPr>
        <w:t>。</w:t>
      </w:r>
      <w:r>
        <w:rPr>
          <w:rFonts w:hint="eastAsia" w:ascii="仿宋_GB2312" w:hAnsi="仿宋_GB2312" w:eastAsia="仿宋_GB2312" w:cs="仿宋_GB2312"/>
          <w:bCs/>
          <w:sz w:val="32"/>
          <w:szCs w:val="32"/>
          <w:lang w:val="en-US" w:eastAsia="zh-CN"/>
        </w:rPr>
        <w:t>登记机关：抚顺市市场监督管理局。</w:t>
      </w:r>
    </w:p>
    <w:p w14:paraId="109F0EA7">
      <w:pPr>
        <w:keepNext w:val="0"/>
        <w:keepLines w:val="0"/>
        <w:pageBreakBefore w:val="0"/>
        <w:numPr>
          <w:ilvl w:val="0"/>
          <w:numId w:val="0"/>
        </w:numPr>
        <w:kinsoku/>
        <w:wordWrap/>
        <w:overflowPunct/>
        <w:topLinePunct w:val="0"/>
        <w:autoSpaceDE w:val="0"/>
        <w:autoSpaceDN w:val="0"/>
        <w:bidi w:val="0"/>
        <w:adjustRightInd w:val="0"/>
        <w:snapToGrid/>
        <w:spacing w:line="560" w:lineRule="exact"/>
        <w:ind w:left="-10" w:leftChars="0" w:firstLine="640" w:firstLineChars="0"/>
        <w:textAlignment w:val="auto"/>
        <w:rPr>
          <w:rFonts w:hint="default" w:ascii="仿宋" w:hAnsi="仿宋" w:eastAsia="仿宋" w:cs="仿宋"/>
          <w:bCs/>
          <w:sz w:val="32"/>
          <w:szCs w:val="32"/>
          <w:highlight w:val="none"/>
          <w:lang w:val="en-US" w:eastAsia="zh-CN"/>
        </w:rPr>
      </w:pPr>
      <w:r>
        <w:rPr>
          <w:rFonts w:hint="eastAsia" w:ascii="仿宋" w:hAnsi="仿宋" w:eastAsia="仿宋" w:cs="仿宋"/>
          <w:b w:val="0"/>
          <w:bCs/>
          <w:color w:val="000000"/>
          <w:kern w:val="2"/>
          <w:sz w:val="32"/>
          <w:szCs w:val="32"/>
          <w:highlight w:val="none"/>
          <w:lang w:val="en-US" w:eastAsia="zh-CN" w:bidi="ar-SA"/>
        </w:rPr>
        <w:t>事发地点位于其所属的</w:t>
      </w:r>
      <w:r>
        <w:rPr>
          <w:rFonts w:hint="eastAsia" w:ascii="仿宋" w:hAnsi="仿宋" w:eastAsia="仿宋" w:cs="仿宋"/>
          <w:b w:val="0"/>
          <w:bCs/>
          <w:color w:val="auto"/>
          <w:kern w:val="2"/>
          <w:sz w:val="32"/>
          <w:szCs w:val="32"/>
          <w:highlight w:val="none"/>
          <w:lang w:val="en-US" w:eastAsia="zh-CN" w:bidi="ar-SA"/>
        </w:rPr>
        <w:t>轧钢厂，</w:t>
      </w:r>
      <w:r>
        <w:rPr>
          <w:rFonts w:hint="eastAsia" w:ascii="仿宋" w:hAnsi="仿宋" w:eastAsia="仿宋" w:cs="仿宋"/>
          <w:b w:val="0"/>
          <w:bCs/>
          <w:color w:val="000000"/>
          <w:kern w:val="2"/>
          <w:sz w:val="32"/>
          <w:szCs w:val="32"/>
          <w:highlight w:val="none"/>
          <w:lang w:val="en-US" w:eastAsia="zh-CN" w:bidi="ar-SA"/>
        </w:rPr>
        <w:t>有关人员情况如下：</w:t>
      </w:r>
      <w:r>
        <w:rPr>
          <w:rFonts w:hint="eastAsia" w:ascii="仿宋" w:hAnsi="仿宋" w:eastAsia="仿宋" w:cs="仿宋"/>
          <w:b w:val="0"/>
          <w:bCs/>
          <w:color w:val="auto"/>
          <w:kern w:val="2"/>
          <w:sz w:val="32"/>
          <w:szCs w:val="32"/>
          <w:highlight w:val="none"/>
          <w:lang w:val="en-US" w:eastAsia="zh-CN" w:bidi="ar-SA"/>
        </w:rPr>
        <w:t>轧钢厂党总支书记、厂长兼办公室主任：海永秀；轧钢厂厂长助理兼设备科科长：张野，负责轧钢厂设备的维护、运行，厂房维修；轧钢厂设备科副科长：褚林，负责设备科全面工作，负责初轧条线的设备管理工作，包括轧钢厂天车维修项目；轧钢厂天车维修项目专责：谷汶函，负责天车维修项目。</w:t>
      </w:r>
    </w:p>
    <w:p w14:paraId="6C012FBA">
      <w:pPr>
        <w:keepNext w:val="0"/>
        <w:keepLines w:val="0"/>
        <w:pageBreakBefore w:val="0"/>
        <w:numPr>
          <w:ilvl w:val="0"/>
          <w:numId w:val="1"/>
        </w:numPr>
        <w:kinsoku/>
        <w:wordWrap/>
        <w:overflowPunct/>
        <w:topLinePunct w:val="0"/>
        <w:autoSpaceDE w:val="0"/>
        <w:autoSpaceDN w:val="0"/>
        <w:bidi w:val="0"/>
        <w:adjustRightInd w:val="0"/>
        <w:spacing w:line="560" w:lineRule="exact"/>
        <w:ind w:firstLine="643" w:firstLineChars="200"/>
        <w:textAlignment w:val="auto"/>
        <w:outlineLvl w:val="1"/>
        <w:rPr>
          <w:rFonts w:hint="eastAsia" w:ascii="楷体_GB2312" w:hAnsi="楷体_GB2312" w:eastAsia="楷体_GB2312" w:cs="楷体_GB2312"/>
          <w:b/>
          <w:color w:val="auto"/>
          <w:sz w:val="32"/>
          <w:szCs w:val="32"/>
          <w:highlight w:val="none"/>
          <w:lang w:val="en-US" w:eastAsia="zh-CN"/>
        </w:rPr>
      </w:pPr>
      <w:r>
        <w:rPr>
          <w:rFonts w:hint="eastAsia" w:ascii="楷体_GB2312" w:hAnsi="楷体_GB2312" w:eastAsia="楷体_GB2312" w:cs="楷体_GB2312"/>
          <w:b/>
          <w:sz w:val="32"/>
          <w:szCs w:val="32"/>
          <w:highlight w:val="none"/>
          <w:lang w:val="en-US" w:eastAsia="zh-CN"/>
        </w:rPr>
        <w:t>工程项目</w:t>
      </w:r>
      <w:r>
        <w:rPr>
          <w:rFonts w:hint="eastAsia" w:ascii="楷体_GB2312" w:hAnsi="楷体_GB2312" w:eastAsia="楷体_GB2312" w:cs="楷体_GB2312"/>
          <w:b/>
          <w:color w:val="auto"/>
          <w:sz w:val="32"/>
          <w:szCs w:val="32"/>
          <w:highlight w:val="none"/>
          <w:lang w:val="en-US" w:eastAsia="zh-CN"/>
        </w:rPr>
        <w:t>施工组织及安全管理情况</w:t>
      </w:r>
    </w:p>
    <w:p w14:paraId="41855DF8">
      <w:pPr>
        <w:keepNext w:val="0"/>
        <w:keepLines w:val="0"/>
        <w:pageBreakBefore w:val="0"/>
        <w:numPr>
          <w:ilvl w:val="0"/>
          <w:numId w:val="0"/>
        </w:numPr>
        <w:kinsoku/>
        <w:wordWrap/>
        <w:overflowPunct/>
        <w:topLinePunct w:val="0"/>
        <w:autoSpaceDE w:val="0"/>
        <w:autoSpaceDN w:val="0"/>
        <w:bidi w:val="0"/>
        <w:adjustRightInd w:val="0"/>
        <w:snapToGrid/>
        <w:spacing w:line="560" w:lineRule="exact"/>
        <w:ind w:left="-10" w:leftChars="0" w:firstLine="640" w:firstLineChars="0"/>
        <w:textAlignment w:val="auto"/>
        <w:rPr>
          <w:rFonts w:hint="default" w:ascii="仿宋" w:hAnsi="仿宋" w:eastAsia="仿宋" w:cs="仿宋"/>
          <w:b/>
          <w:bCs w:val="0"/>
          <w:color w:val="auto"/>
          <w:kern w:val="2"/>
          <w:sz w:val="32"/>
          <w:szCs w:val="32"/>
          <w:highlight w:val="none"/>
          <w:lang w:val="en-US" w:eastAsia="zh-CN" w:bidi="ar-SA"/>
        </w:rPr>
      </w:pPr>
      <w:r>
        <w:rPr>
          <w:rFonts w:hint="eastAsia" w:ascii="仿宋" w:hAnsi="仿宋" w:eastAsia="仿宋" w:cs="仿宋"/>
          <w:b/>
          <w:bCs w:val="0"/>
          <w:color w:val="auto"/>
          <w:kern w:val="2"/>
          <w:sz w:val="32"/>
          <w:szCs w:val="32"/>
          <w:highlight w:val="none"/>
          <w:lang w:val="en-US" w:eastAsia="zh-CN" w:bidi="ar-SA"/>
        </w:rPr>
        <w:t>1.施工组织情况</w:t>
      </w:r>
    </w:p>
    <w:p w14:paraId="6D0B9326">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宋体" w:hAnsi="宋体" w:eastAsia="宋体" w:cs="宋体"/>
          <w:sz w:val="28"/>
          <w:szCs w:val="28"/>
          <w:highlight w:val="none"/>
          <w:lang w:val="en-US" w:eastAsia="zh-CN"/>
        </w:rPr>
      </w:pPr>
      <w:r>
        <w:rPr>
          <w:rFonts w:hint="eastAsia" w:ascii="仿宋_GB2312" w:hAnsi="仿宋_GB2312" w:eastAsia="仿宋_GB2312" w:cs="仿宋_GB2312"/>
          <w:bCs/>
          <w:color w:val="auto"/>
          <w:sz w:val="32"/>
          <w:szCs w:val="32"/>
          <w:highlight w:val="none"/>
          <w:u w:val="none"/>
          <w:lang w:val="en-US" w:eastAsia="zh-CN"/>
        </w:rPr>
        <w:t>自4月1日开始，</w:t>
      </w:r>
      <w:r>
        <w:rPr>
          <w:rFonts w:hint="eastAsia" w:ascii="仿宋" w:hAnsi="仿宋" w:eastAsia="仿宋" w:cs="仿宋"/>
          <w:bCs/>
          <w:color w:val="auto"/>
          <w:kern w:val="2"/>
          <w:sz w:val="32"/>
          <w:szCs w:val="32"/>
          <w:highlight w:val="none"/>
          <w:lang w:val="en-US" w:eastAsia="zh-CN" w:bidi="ar-SA"/>
        </w:rPr>
        <w:t>辽宁龙宇建设公司</w:t>
      </w:r>
      <w:r>
        <w:rPr>
          <w:rFonts w:hint="eastAsia" w:ascii="仿宋_GB2312" w:hAnsi="仿宋_GB2312" w:eastAsia="仿宋_GB2312" w:cs="仿宋_GB2312"/>
          <w:bCs/>
          <w:color w:val="auto"/>
          <w:sz w:val="32"/>
          <w:szCs w:val="32"/>
          <w:highlight w:val="none"/>
          <w:u w:val="none"/>
          <w:lang w:val="en-US" w:eastAsia="zh-CN"/>
        </w:rPr>
        <w:t>于凤凯带领团队10人开始</w:t>
      </w:r>
      <w:r>
        <w:rPr>
          <w:rFonts w:hint="eastAsia" w:ascii="仿宋_GB2312" w:hAnsi="仿宋_GB2312" w:eastAsia="仿宋_GB2312" w:cs="仿宋_GB2312"/>
          <w:kern w:val="1"/>
          <w:sz w:val="32"/>
          <w:szCs w:val="32"/>
          <w:lang w:val="en-US" w:eastAsia="zh-CN"/>
        </w:rPr>
        <w:t>轧钢厂（初轧）650成品跨、退火跨天车轨道维修</w:t>
      </w:r>
      <w:r>
        <w:rPr>
          <w:rFonts w:hint="eastAsia" w:ascii="仿宋_GB2312" w:hAnsi="仿宋_GB2312" w:eastAsia="仿宋_GB2312" w:cs="仿宋_GB2312"/>
          <w:bCs/>
          <w:color w:val="auto"/>
          <w:sz w:val="32"/>
          <w:szCs w:val="32"/>
          <w:highlight w:val="none"/>
          <w:u w:val="none"/>
          <w:lang w:val="en-US" w:eastAsia="zh-CN"/>
        </w:rPr>
        <w:t>施工作业。4月8日，</w:t>
      </w:r>
      <w:r>
        <w:rPr>
          <w:rFonts w:hint="eastAsia" w:ascii="仿宋_GB2312" w:hAnsi="仿宋_GB2312" w:eastAsia="仿宋_GB2312" w:cs="仿宋_GB2312"/>
          <w:sz w:val="32"/>
          <w:szCs w:val="32"/>
          <w:lang w:val="en-US" w:eastAsia="zh-CN"/>
        </w:rPr>
        <w:t>工程项目已基本完成施工作业，工程项目处于收尾待验收阶段。</w:t>
      </w:r>
    </w:p>
    <w:p w14:paraId="7A6096FF">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3" w:firstLineChars="200"/>
        <w:jc w:val="both"/>
        <w:textAlignment w:val="auto"/>
        <w:rPr>
          <w:rFonts w:hint="default" w:ascii="仿宋" w:hAnsi="仿宋" w:eastAsia="仿宋" w:cs="仿宋"/>
          <w:b/>
          <w:bCs w:val="0"/>
          <w:color w:val="000000"/>
          <w:kern w:val="2"/>
          <w:sz w:val="32"/>
          <w:szCs w:val="32"/>
          <w:highlight w:val="none"/>
          <w:lang w:val="en-US" w:eastAsia="zh-CN" w:bidi="ar-SA"/>
        </w:rPr>
      </w:pPr>
      <w:r>
        <w:rPr>
          <w:rFonts w:hint="eastAsia" w:ascii="仿宋" w:hAnsi="仿宋" w:eastAsia="仿宋" w:cs="仿宋"/>
          <w:b/>
          <w:bCs w:val="0"/>
          <w:color w:val="000000"/>
          <w:kern w:val="2"/>
          <w:sz w:val="32"/>
          <w:szCs w:val="32"/>
          <w:highlight w:val="none"/>
          <w:lang w:val="en-US" w:eastAsia="zh-CN" w:bidi="ar-SA"/>
        </w:rPr>
        <w:t>2.安全管理情况</w:t>
      </w:r>
    </w:p>
    <w:p w14:paraId="52BB8CAB">
      <w:pPr>
        <w:keepNext w:val="0"/>
        <w:keepLines w:val="0"/>
        <w:pageBreakBefore w:val="0"/>
        <w:numPr>
          <w:ilvl w:val="0"/>
          <w:numId w:val="0"/>
        </w:numPr>
        <w:kinsoku/>
        <w:wordWrap/>
        <w:overflowPunct/>
        <w:topLinePunct w:val="0"/>
        <w:autoSpaceDE w:val="0"/>
        <w:bidi w:val="0"/>
        <w:snapToGrid w:val="0"/>
        <w:spacing w:line="560" w:lineRule="exact"/>
        <w:ind w:firstLine="640" w:firstLineChars="200"/>
        <w:textAlignment w:val="auto"/>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highlight w:val="none"/>
          <w:lang w:val="en-US" w:eastAsia="zh-CN" w:bidi="ar-SA"/>
        </w:rPr>
        <w:t>（1）辽宁龙宇建设公司</w:t>
      </w:r>
    </w:p>
    <w:p w14:paraId="48C56F41">
      <w:pPr>
        <w:keepNext w:val="0"/>
        <w:keepLines w:val="0"/>
        <w:pageBreakBefore w:val="0"/>
        <w:numPr>
          <w:ilvl w:val="0"/>
          <w:numId w:val="0"/>
        </w:numPr>
        <w:kinsoku/>
        <w:wordWrap/>
        <w:overflowPunct/>
        <w:topLinePunct w:val="0"/>
        <w:autoSpaceDE w:val="0"/>
        <w:bidi w:val="0"/>
        <w:snapToGrid w:val="0"/>
        <w:spacing w:line="56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 w:hAnsi="仿宋" w:eastAsia="仿宋" w:cs="仿宋"/>
          <w:b w:val="0"/>
          <w:bCs/>
          <w:color w:val="auto"/>
          <w:kern w:val="2"/>
          <w:sz w:val="32"/>
          <w:szCs w:val="32"/>
          <w:highlight w:val="none"/>
          <w:lang w:val="en-US" w:eastAsia="zh-CN" w:bidi="ar-SA"/>
        </w:rPr>
        <w:t>辽宁龙宇建设公司项目部日常安全管理由</w:t>
      </w:r>
      <w:r>
        <w:rPr>
          <w:rFonts w:hint="eastAsia" w:ascii="仿宋_GB2312" w:hAnsi="仿宋_GB2312" w:eastAsia="仿宋_GB2312" w:cs="仿宋_GB2312"/>
          <w:bCs/>
          <w:color w:val="auto"/>
          <w:sz w:val="32"/>
          <w:szCs w:val="32"/>
          <w:highlight w:val="none"/>
          <w:u w:val="none"/>
          <w:lang w:val="en-US" w:eastAsia="zh-CN"/>
        </w:rPr>
        <w:t>于凤凯、谢宝东组织实施，</w:t>
      </w:r>
      <w:r>
        <w:rPr>
          <w:rFonts w:hint="eastAsia" w:ascii="仿宋_GB2312" w:hAnsi="仿宋_GB2312" w:eastAsia="仿宋_GB2312" w:cs="仿宋_GB2312"/>
          <w:bCs/>
          <w:color w:val="auto"/>
          <w:sz w:val="32"/>
          <w:szCs w:val="32"/>
          <w:lang w:val="en-US" w:eastAsia="zh-CN"/>
        </w:rPr>
        <w:t>对进场施工人员进行</w:t>
      </w:r>
      <w:r>
        <w:rPr>
          <w:rFonts w:hint="eastAsia" w:ascii="仿宋_GB2312" w:hAnsi="仿宋_GB2312" w:eastAsia="仿宋_GB2312" w:cs="仿宋_GB2312"/>
          <w:bCs/>
          <w:sz w:val="32"/>
          <w:szCs w:val="32"/>
          <w:lang w:val="en-US" w:eastAsia="zh-CN"/>
        </w:rPr>
        <w:t>了三级安全教育培训，作业人员通过了培训考核，</w:t>
      </w:r>
      <w:r>
        <w:rPr>
          <w:rFonts w:hint="eastAsia" w:ascii="仿宋" w:hAnsi="仿宋" w:eastAsia="仿宋" w:cs="仿宋"/>
          <w:b w:val="0"/>
          <w:bCs/>
          <w:color w:val="auto"/>
          <w:kern w:val="2"/>
          <w:sz w:val="32"/>
          <w:szCs w:val="32"/>
          <w:highlight w:val="none"/>
          <w:lang w:val="en-US" w:eastAsia="zh-CN" w:bidi="ar-SA"/>
        </w:rPr>
        <w:t>开工前进行了安全风险辨识、安全交底，工程项目施工作业期间、每日对施工现场安全巡检，其中《安全交底记录》</w:t>
      </w:r>
      <w:r>
        <w:rPr>
          <w:rFonts w:hint="eastAsia" w:ascii="仿宋_GB2312" w:hAnsi="仿宋_GB2312" w:eastAsia="仿宋_GB2312" w:cs="仿宋_GB2312"/>
          <w:bCs/>
          <w:color w:val="auto"/>
          <w:sz w:val="32"/>
          <w:szCs w:val="32"/>
          <w:lang w:val="en-US" w:eastAsia="zh-CN"/>
        </w:rPr>
        <w:t>第2条明确作业前要先熟悉作业环境，操作时要严格遵守各项安全操作规程和劳动纪律；严禁违章作业、严禁违章指挥。</w:t>
      </w:r>
    </w:p>
    <w:p w14:paraId="5A0BBB12">
      <w:pPr>
        <w:keepNext w:val="0"/>
        <w:keepLines w:val="0"/>
        <w:pageBreakBefore w:val="0"/>
        <w:numPr>
          <w:ilvl w:val="0"/>
          <w:numId w:val="0"/>
        </w:numPr>
        <w:kinsoku/>
        <w:wordWrap/>
        <w:overflowPunct/>
        <w:topLinePunct w:val="0"/>
        <w:autoSpaceDE w:val="0"/>
        <w:bidi w:val="0"/>
        <w:snapToGrid w:val="0"/>
        <w:spacing w:line="560" w:lineRule="exact"/>
        <w:ind w:firstLine="640" w:firstLineChars="200"/>
        <w:textAlignment w:val="auto"/>
        <w:rPr>
          <w:rFonts w:hint="default" w:ascii="仿宋_GB2312" w:hAnsi="仿宋_GB2312" w:eastAsia="仿宋_GB2312" w:cs="仿宋_GB2312"/>
          <w:bCs/>
          <w:color w:val="auto"/>
          <w:sz w:val="32"/>
          <w:szCs w:val="32"/>
          <w:lang w:val="en-US" w:eastAsia="zh-CN"/>
        </w:rPr>
      </w:pPr>
      <w:r>
        <w:rPr>
          <w:rFonts w:hint="eastAsia" w:ascii="仿宋" w:hAnsi="仿宋" w:eastAsia="仿宋" w:cs="仿宋"/>
          <w:b w:val="0"/>
          <w:bCs/>
          <w:color w:val="auto"/>
          <w:kern w:val="2"/>
          <w:sz w:val="32"/>
          <w:szCs w:val="32"/>
          <w:highlight w:val="none"/>
          <w:lang w:val="en-US" w:eastAsia="zh-CN" w:bidi="ar-SA"/>
        </w:rPr>
        <w:t>（2）</w:t>
      </w:r>
      <w:r>
        <w:rPr>
          <w:rFonts w:hint="eastAsia" w:ascii="仿宋_GB2312" w:hAnsi="仿宋_GB2312" w:eastAsia="仿宋_GB2312" w:cs="仿宋_GB2312"/>
          <w:bCs/>
          <w:color w:val="auto"/>
          <w:sz w:val="32"/>
          <w:szCs w:val="32"/>
          <w:lang w:val="en-US" w:eastAsia="zh-CN"/>
        </w:rPr>
        <w:t>抚顺特钢公司</w:t>
      </w:r>
    </w:p>
    <w:p w14:paraId="43D50AA0">
      <w:pPr>
        <w:keepNext w:val="0"/>
        <w:keepLines w:val="0"/>
        <w:pageBreakBefore w:val="0"/>
        <w:kinsoku/>
        <w:wordWrap/>
        <w:overflowPunct/>
        <w:topLinePunct w:val="0"/>
        <w:autoSpaceDE w:val="0"/>
        <w:bidi w:val="0"/>
        <w:snapToGrid w:val="0"/>
        <w:spacing w:line="560" w:lineRule="exact"/>
        <w:ind w:firstLine="640" w:firstLineChars="200"/>
        <w:textAlignment w:val="auto"/>
        <w:rPr>
          <w:rFonts w:hint="default" w:ascii="仿宋" w:hAnsi="仿宋" w:eastAsia="仿宋" w:cs="仿宋"/>
          <w:b w:val="0"/>
          <w:bCs/>
          <w:color w:val="auto"/>
          <w:kern w:val="2"/>
          <w:sz w:val="32"/>
          <w:szCs w:val="32"/>
          <w:highlight w:val="none"/>
          <w:lang w:val="en-US" w:eastAsia="zh-CN" w:bidi="ar-SA"/>
        </w:rPr>
      </w:pPr>
      <w:r>
        <w:rPr>
          <w:rFonts w:hint="eastAsia" w:ascii="仿宋_GB2312" w:hAnsi="仿宋_GB2312" w:eastAsia="仿宋_GB2312" w:cs="仿宋_GB2312"/>
          <w:bCs/>
          <w:sz w:val="32"/>
          <w:szCs w:val="32"/>
          <w:lang w:val="en-US" w:eastAsia="zh-CN"/>
        </w:rPr>
        <w:t>工程项目开工前，抚顺特钢公司轧钢厂组织召开了维修项目开工会议，</w:t>
      </w:r>
      <w:r>
        <w:rPr>
          <w:rFonts w:hint="eastAsia" w:ascii="仿宋_GB2312" w:hAnsi="仿宋_GB2312" w:eastAsia="仿宋_GB2312" w:cs="仿宋_GB2312"/>
          <w:bCs/>
          <w:color w:val="auto"/>
          <w:sz w:val="32"/>
          <w:szCs w:val="32"/>
          <w:lang w:val="en-US" w:eastAsia="zh-CN"/>
        </w:rPr>
        <w:t>组织学习了</w:t>
      </w:r>
      <w:r>
        <w:rPr>
          <w:rFonts w:hint="eastAsia" w:ascii="仿宋" w:hAnsi="仿宋" w:eastAsia="仿宋" w:cs="仿宋"/>
          <w:b w:val="0"/>
          <w:bCs/>
          <w:color w:val="auto"/>
          <w:kern w:val="2"/>
          <w:sz w:val="32"/>
          <w:szCs w:val="32"/>
          <w:highlight w:val="none"/>
          <w:lang w:val="en-US" w:eastAsia="zh-CN" w:bidi="ar-SA"/>
        </w:rPr>
        <w:t>《关于进一步落实安全生产十大禁令工作的通知》，</w:t>
      </w:r>
      <w:r>
        <w:rPr>
          <w:rFonts w:hint="eastAsia" w:ascii="仿宋_GB2312" w:hAnsi="仿宋_GB2312" w:eastAsia="仿宋_GB2312" w:cs="仿宋_GB2312"/>
          <w:bCs/>
          <w:sz w:val="32"/>
          <w:szCs w:val="32"/>
          <w:lang w:val="en-US" w:eastAsia="zh-CN"/>
        </w:rPr>
        <w:t>要求辽宁龙宇建设公司严格遵守抚顺特钢公司的各项规定，轧钢厂对辽宁龙宇建设公司进场施工作业人员进行了三级安全教育培训，施工作业人员通过了培训考核，对施工作业人员进行了</w:t>
      </w:r>
      <w:r>
        <w:rPr>
          <w:rFonts w:hint="eastAsia" w:ascii="仿宋_GB2312" w:hAnsi="仿宋_GB2312" w:eastAsia="仿宋_GB2312" w:cs="仿宋_GB2312"/>
          <w:bCs/>
          <w:color w:val="auto"/>
          <w:sz w:val="32"/>
          <w:szCs w:val="32"/>
          <w:lang w:val="en-US" w:eastAsia="zh-CN"/>
        </w:rPr>
        <w:t>安全交底，施工作业人员学习了《轧钢厂对施工方安全技术交底内容》，其中作业安全要求的第9条明确：高处作业使用的工具、材料、零件等应装入工具袋，上下时手中不应持物，不应投掷工具、材料及其他物品。此外，</w:t>
      </w:r>
      <w:r>
        <w:rPr>
          <w:rFonts w:hint="eastAsia" w:ascii="仿宋_GB2312" w:hAnsi="仿宋_GB2312" w:eastAsia="仿宋_GB2312" w:cs="仿宋_GB2312"/>
          <w:bCs/>
          <w:color w:val="auto"/>
          <w:sz w:val="32"/>
          <w:szCs w:val="32"/>
          <w:highlight w:val="none"/>
          <w:lang w:val="en-US" w:eastAsia="zh-CN"/>
        </w:rPr>
        <w:t>《抚顺特钢十大禁令》第1条</w:t>
      </w:r>
      <w:r>
        <w:rPr>
          <w:rFonts w:hint="eastAsia" w:ascii="仿宋_GB2312" w:hAnsi="仿宋_GB2312" w:eastAsia="仿宋_GB2312" w:cs="仿宋_GB2312"/>
          <w:bCs/>
          <w:color w:val="auto"/>
          <w:sz w:val="32"/>
          <w:szCs w:val="32"/>
          <w:lang w:val="en-US" w:eastAsia="zh-CN"/>
        </w:rPr>
        <w:t>明确严禁高处作业不系挂安全带和不按标准佩戴安全帽；《技术交底记录》第3条第2）项a款明确高空作业佩戴安全带，设置防护网。轧钢厂在工程项目施工作业期间、每日进行隐患排查</w:t>
      </w:r>
      <w:r>
        <w:rPr>
          <w:rFonts w:hint="eastAsia" w:ascii="仿宋" w:hAnsi="仿宋" w:eastAsia="仿宋" w:cs="仿宋"/>
          <w:b w:val="0"/>
          <w:bCs/>
          <w:color w:val="auto"/>
          <w:kern w:val="2"/>
          <w:sz w:val="32"/>
          <w:szCs w:val="32"/>
          <w:highlight w:val="none"/>
          <w:lang w:val="en-US" w:eastAsia="zh-CN" w:bidi="ar-SA"/>
        </w:rPr>
        <w:t>。</w:t>
      </w:r>
    </w:p>
    <w:p w14:paraId="374712B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二、事故经过</w:t>
      </w:r>
      <w:r>
        <w:rPr>
          <w:rFonts w:hint="eastAsia" w:ascii="黑体" w:hAnsi="黑体" w:eastAsia="黑体" w:cs="黑体"/>
          <w:bCs/>
          <w:sz w:val="32"/>
          <w:szCs w:val="32"/>
          <w:highlight w:val="none"/>
          <w:lang w:eastAsia="zh-CN"/>
        </w:rPr>
        <w:t>、</w:t>
      </w:r>
      <w:r>
        <w:rPr>
          <w:rFonts w:hint="eastAsia" w:ascii="黑体" w:hAnsi="黑体" w:eastAsia="黑体" w:cs="黑体"/>
          <w:bCs/>
          <w:sz w:val="32"/>
          <w:szCs w:val="32"/>
          <w:highlight w:val="none"/>
        </w:rPr>
        <w:t>救援</w:t>
      </w:r>
      <w:r>
        <w:rPr>
          <w:rFonts w:hint="eastAsia" w:ascii="黑体" w:hAnsi="黑体" w:eastAsia="黑体" w:cs="黑体"/>
          <w:bCs/>
          <w:sz w:val="32"/>
          <w:szCs w:val="32"/>
          <w:highlight w:val="none"/>
          <w:lang w:eastAsia="zh-CN"/>
        </w:rPr>
        <w:t>及瞒报</w:t>
      </w:r>
      <w:r>
        <w:rPr>
          <w:rFonts w:hint="eastAsia" w:ascii="黑体" w:hAnsi="黑体" w:eastAsia="黑体" w:cs="黑体"/>
          <w:bCs/>
          <w:sz w:val="32"/>
          <w:szCs w:val="32"/>
          <w:highlight w:val="none"/>
        </w:rPr>
        <w:t>情况</w:t>
      </w:r>
    </w:p>
    <w:p w14:paraId="4710D65D">
      <w:pPr>
        <w:keepNext w:val="0"/>
        <w:keepLines w:val="0"/>
        <w:pageBreakBefore w:val="0"/>
        <w:kinsoku/>
        <w:wordWrap/>
        <w:overflowPunct/>
        <w:topLinePunct w:val="0"/>
        <w:autoSpaceDE w:val="0"/>
        <w:autoSpaceDN w:val="0"/>
        <w:bidi w:val="0"/>
        <w:adjustRightInd w:val="0"/>
        <w:spacing w:line="560" w:lineRule="exact"/>
        <w:ind w:left="420"/>
        <w:textAlignment w:val="auto"/>
        <w:outlineLvl w:val="1"/>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sz w:val="32"/>
          <w:szCs w:val="32"/>
          <w:highlight w:val="none"/>
          <w:lang w:val="en-US" w:eastAsia="zh-CN"/>
        </w:rPr>
        <w:t>（一）事故发生经过</w:t>
      </w:r>
    </w:p>
    <w:p w14:paraId="3CFB9F96">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仿宋" w:hAnsi="仿宋" w:eastAsia="仿宋" w:cs="仿宋_GB2312"/>
          <w:color w:val="auto"/>
          <w:sz w:val="32"/>
          <w:szCs w:val="32"/>
        </w:rPr>
      </w:pPr>
      <w:r>
        <w:rPr>
          <w:rFonts w:hint="eastAsia" w:ascii="仿宋" w:hAnsi="仿宋" w:eastAsia="仿宋" w:cs="仿宋_GB2312"/>
          <w:color w:val="auto"/>
          <w:sz w:val="32"/>
          <w:szCs w:val="32"/>
        </w:rPr>
        <w:t>2026年4月8日7时许，</w:t>
      </w:r>
      <w:r>
        <w:rPr>
          <w:rFonts w:hint="eastAsia" w:ascii="仿宋_GB2312" w:hAnsi="仿宋_GB2312" w:eastAsia="仿宋_GB2312" w:cs="仿宋_GB2312"/>
          <w:bCs/>
          <w:sz w:val="32"/>
          <w:szCs w:val="32"/>
          <w:lang w:val="en-US" w:eastAsia="zh-CN"/>
        </w:rPr>
        <w:t>辽宁龙宇建设公司</w:t>
      </w:r>
      <w:r>
        <w:rPr>
          <w:rFonts w:hint="eastAsia" w:ascii="仿宋" w:hAnsi="仿宋" w:eastAsia="仿宋" w:cs="仿宋_GB2312"/>
          <w:color w:val="auto"/>
          <w:sz w:val="32"/>
          <w:szCs w:val="32"/>
        </w:rPr>
        <w:t>董伟等9名</w:t>
      </w:r>
      <w:r>
        <w:rPr>
          <w:rFonts w:hint="eastAsia" w:ascii="仿宋" w:hAnsi="仿宋" w:eastAsia="仿宋" w:cs="仿宋_GB2312"/>
          <w:color w:val="auto"/>
          <w:sz w:val="32"/>
          <w:szCs w:val="32"/>
          <w:lang w:eastAsia="zh-CN"/>
        </w:rPr>
        <w:t>施工作业</w:t>
      </w:r>
      <w:r>
        <w:rPr>
          <w:rFonts w:hint="eastAsia" w:ascii="仿宋" w:hAnsi="仿宋" w:eastAsia="仿宋" w:cs="仿宋_GB2312"/>
          <w:color w:val="auto"/>
          <w:sz w:val="32"/>
          <w:szCs w:val="32"/>
        </w:rPr>
        <w:t>人员陆续进入</w:t>
      </w:r>
      <w:r>
        <w:rPr>
          <w:rFonts w:hint="eastAsia" w:ascii="仿宋" w:hAnsi="仿宋" w:eastAsia="仿宋" w:cs="仿宋_GB2312"/>
          <w:color w:val="auto"/>
          <w:sz w:val="32"/>
          <w:szCs w:val="32"/>
          <w:lang w:eastAsia="zh-CN"/>
        </w:rPr>
        <w:t>抚顺特钢公司</w:t>
      </w:r>
      <w:r>
        <w:rPr>
          <w:rFonts w:hint="eastAsia" w:ascii="仿宋" w:hAnsi="仿宋" w:eastAsia="仿宋" w:cs="仿宋_GB2312"/>
          <w:color w:val="auto"/>
          <w:sz w:val="32"/>
          <w:szCs w:val="32"/>
        </w:rPr>
        <w:t>轧钢厂</w:t>
      </w:r>
      <w:r>
        <w:rPr>
          <w:rFonts w:hint="eastAsia" w:ascii="仿宋" w:hAnsi="仿宋" w:eastAsia="仿宋" w:cs="仿宋_GB2312"/>
          <w:color w:val="auto"/>
          <w:sz w:val="32"/>
          <w:szCs w:val="32"/>
          <w:lang w:eastAsia="zh-CN"/>
        </w:rPr>
        <w:t>（初轧）</w:t>
      </w:r>
      <w:r>
        <w:rPr>
          <w:rFonts w:hint="eastAsia" w:ascii="仿宋" w:hAnsi="仿宋" w:eastAsia="仿宋" w:cs="仿宋_GB2312"/>
          <w:color w:val="auto"/>
          <w:sz w:val="32"/>
          <w:szCs w:val="32"/>
        </w:rPr>
        <w:t>650成品跨厂房</w:t>
      </w:r>
      <w:r>
        <w:rPr>
          <w:rFonts w:hint="eastAsia" w:ascii="仿宋" w:hAnsi="仿宋" w:eastAsia="仿宋" w:cs="仿宋_GB2312"/>
          <w:color w:val="auto"/>
          <w:sz w:val="32"/>
          <w:szCs w:val="32"/>
          <w:lang w:eastAsia="zh-CN"/>
        </w:rPr>
        <w:t>，</w:t>
      </w:r>
      <w:r>
        <w:rPr>
          <w:rFonts w:hint="eastAsia" w:ascii="仿宋_GB2312" w:hAnsi="仿宋_GB2312" w:eastAsia="仿宋_GB2312" w:cs="仿宋_GB2312"/>
          <w:color w:val="auto"/>
          <w:sz w:val="32"/>
          <w:szCs w:val="32"/>
          <w:lang w:val="en-US" w:eastAsia="zh-CN"/>
        </w:rPr>
        <w:t>工程项目实际负责人</w:t>
      </w:r>
      <w:r>
        <w:rPr>
          <w:rFonts w:hint="eastAsia" w:ascii="仿宋" w:hAnsi="仿宋" w:eastAsia="仿宋" w:cs="仿宋_GB2312"/>
          <w:color w:val="auto"/>
          <w:sz w:val="32"/>
          <w:szCs w:val="32"/>
        </w:rPr>
        <w:t>于凤凯向董伟</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罗良泉、谢宝东、田作锋等9人布置了工作任务。</w:t>
      </w:r>
    </w:p>
    <w:p w14:paraId="4AB2E429">
      <w:pPr>
        <w:keepNext w:val="0"/>
        <w:keepLines w:val="0"/>
        <w:pageBreakBefore w:val="0"/>
        <w:widowControl w:val="0"/>
        <w:kinsoku/>
        <w:wordWrap/>
        <w:overflowPunct/>
        <w:topLinePunct w:val="0"/>
        <w:autoSpaceDE/>
        <w:autoSpaceDN/>
        <w:bidi w:val="0"/>
        <w:adjustRightInd/>
        <w:spacing w:line="560" w:lineRule="exact"/>
        <w:ind w:firstLine="630"/>
        <w:jc w:val="left"/>
        <w:textAlignment w:val="auto"/>
        <w:rPr>
          <w:rFonts w:hint="eastAsia" w:ascii="仿宋" w:hAnsi="仿宋" w:eastAsia="仿宋" w:cs="仿宋_GB2312"/>
          <w:sz w:val="32"/>
          <w:szCs w:val="32"/>
        </w:rPr>
      </w:pPr>
      <w:r>
        <w:rPr>
          <w:rFonts w:hint="eastAsia" w:ascii="仿宋" w:hAnsi="仿宋" w:eastAsia="仿宋" w:cs="仿宋_GB2312"/>
          <w:color w:val="auto"/>
          <w:sz w:val="32"/>
          <w:szCs w:val="32"/>
        </w:rPr>
        <w:t>16时4</w:t>
      </w:r>
      <w:r>
        <w:rPr>
          <w:rFonts w:hint="eastAsia" w:ascii="仿宋" w:hAnsi="仿宋" w:eastAsia="仿宋" w:cs="仿宋_GB2312"/>
          <w:color w:val="auto"/>
          <w:sz w:val="32"/>
          <w:szCs w:val="32"/>
          <w:lang w:val="en-US" w:eastAsia="zh-CN"/>
        </w:rPr>
        <w:t>0</w:t>
      </w:r>
      <w:r>
        <w:rPr>
          <w:rFonts w:hint="eastAsia" w:ascii="仿宋" w:hAnsi="仿宋" w:eastAsia="仿宋" w:cs="仿宋_GB2312"/>
          <w:color w:val="auto"/>
          <w:sz w:val="32"/>
          <w:szCs w:val="32"/>
        </w:rPr>
        <w:t>分许，</w:t>
      </w:r>
      <w:r>
        <w:rPr>
          <w:rFonts w:hint="eastAsia" w:ascii="仿宋_GB2312" w:hAnsi="仿宋_GB2312" w:eastAsia="仿宋_GB2312" w:cs="仿宋_GB2312"/>
          <w:bCs/>
          <w:sz w:val="32"/>
          <w:szCs w:val="32"/>
          <w:lang w:val="en-US" w:eastAsia="zh-CN"/>
        </w:rPr>
        <w:t>辽宁龙宇建设公司</w:t>
      </w:r>
      <w:r>
        <w:rPr>
          <w:rFonts w:hint="eastAsia" w:ascii="仿宋" w:hAnsi="仿宋" w:eastAsia="仿宋" w:cs="仿宋_GB2312"/>
          <w:color w:val="auto"/>
          <w:sz w:val="32"/>
          <w:szCs w:val="32"/>
          <w:lang w:eastAsia="zh-CN"/>
        </w:rPr>
        <w:t>天车轨道作业基本完成，董伟结束当日工作后进行收尾巡查并撤离，其手持水平仪在南侧</w:t>
      </w:r>
      <w:r>
        <w:rPr>
          <w:rFonts w:hint="eastAsia" w:ascii="仿宋" w:hAnsi="仿宋" w:eastAsia="仿宋" w:cs="仿宋_GB2312"/>
          <w:color w:val="auto"/>
          <w:sz w:val="32"/>
          <w:szCs w:val="32"/>
          <w:highlight w:val="none"/>
          <w:lang w:eastAsia="zh-CN"/>
        </w:rPr>
        <w:t>天车</w:t>
      </w:r>
      <w:r>
        <w:rPr>
          <w:rFonts w:hint="eastAsia" w:ascii="仿宋" w:hAnsi="仿宋" w:eastAsia="仿宋" w:cs="仿宋_GB2312"/>
          <w:color w:val="auto"/>
          <w:sz w:val="32"/>
          <w:szCs w:val="32"/>
          <w:lang w:eastAsia="zh-CN"/>
        </w:rPr>
        <w:t>轨道上由西向东行走，走到天车时解开安全绳并爬上天车，经天车到北侧天车轨道后下天车，在其手持水平仪由东向西绕立柱行走时未系安全绳发生跌倒并坠落。</w:t>
      </w:r>
      <w:r>
        <w:rPr>
          <w:rFonts w:hint="eastAsia" w:ascii="仿宋" w:hAnsi="仿宋" w:eastAsia="仿宋" w:cs="仿宋_GB2312"/>
          <w:color w:val="auto"/>
          <w:sz w:val="32"/>
          <w:szCs w:val="32"/>
        </w:rPr>
        <w:t>田作锋听到“砰”的</w:t>
      </w:r>
      <w:r>
        <w:rPr>
          <w:rFonts w:hint="eastAsia" w:ascii="仿宋" w:hAnsi="仿宋" w:eastAsia="仿宋" w:cs="仿宋_GB2312"/>
          <w:color w:val="auto"/>
          <w:sz w:val="32"/>
          <w:szCs w:val="32"/>
          <w:lang w:eastAsia="zh-CN"/>
        </w:rPr>
        <w:t>坠落声音后</w:t>
      </w:r>
      <w:r>
        <w:rPr>
          <w:rFonts w:hint="eastAsia" w:ascii="仿宋" w:hAnsi="仿宋" w:eastAsia="仿宋" w:cs="仿宋_GB2312"/>
          <w:color w:val="auto"/>
          <w:sz w:val="32"/>
          <w:szCs w:val="32"/>
        </w:rPr>
        <w:t>，随即呼喊董伟，</w:t>
      </w:r>
      <w:r>
        <w:rPr>
          <w:rFonts w:hint="eastAsia" w:ascii="仿宋" w:hAnsi="仿宋" w:eastAsia="仿宋" w:cs="仿宋_GB2312"/>
          <w:color w:val="auto"/>
          <w:sz w:val="32"/>
          <w:szCs w:val="32"/>
          <w:lang w:eastAsia="zh-CN"/>
        </w:rPr>
        <w:t>但</w:t>
      </w:r>
      <w:r>
        <w:rPr>
          <w:rFonts w:hint="eastAsia" w:ascii="仿宋" w:hAnsi="仿宋" w:eastAsia="仿宋" w:cs="仿宋_GB2312"/>
          <w:color w:val="auto"/>
          <w:sz w:val="32"/>
          <w:szCs w:val="32"/>
        </w:rPr>
        <w:t>未得到</w:t>
      </w:r>
      <w:r>
        <w:rPr>
          <w:rFonts w:hint="eastAsia" w:ascii="仿宋" w:hAnsi="仿宋" w:eastAsia="仿宋" w:cs="仿宋_GB2312"/>
          <w:sz w:val="32"/>
          <w:szCs w:val="32"/>
        </w:rPr>
        <w:t>回应。田作锋立即从天车上查看现场情况，发现董伟已坠落到地面。田作锋立即呼喊现场工友</w:t>
      </w:r>
      <w:r>
        <w:rPr>
          <w:rFonts w:hint="eastAsia" w:ascii="仿宋" w:hAnsi="仿宋" w:eastAsia="仿宋" w:cs="仿宋_GB2312"/>
          <w:sz w:val="32"/>
          <w:szCs w:val="32"/>
          <w:lang w:eastAsia="zh-CN"/>
        </w:rPr>
        <w:t>救援</w:t>
      </w:r>
      <w:r>
        <w:rPr>
          <w:rFonts w:hint="eastAsia" w:ascii="仿宋" w:hAnsi="仿宋" w:eastAsia="仿宋" w:cs="仿宋_GB2312"/>
          <w:sz w:val="32"/>
          <w:szCs w:val="32"/>
        </w:rPr>
        <w:t>，谢宝东听到呼喊后迅速赶到董伟身边，询问其身体状况，当时董伟意识</w:t>
      </w:r>
      <w:r>
        <w:rPr>
          <w:rFonts w:hint="eastAsia" w:ascii="仿宋" w:hAnsi="仿宋" w:eastAsia="仿宋" w:cs="仿宋_GB2312"/>
          <w:sz w:val="32"/>
          <w:szCs w:val="32"/>
          <w:lang w:eastAsia="zh-CN"/>
        </w:rPr>
        <w:t>清晰</w:t>
      </w:r>
      <w:r>
        <w:rPr>
          <w:rFonts w:hint="eastAsia" w:ascii="仿宋" w:hAnsi="仿宋" w:eastAsia="仿宋" w:cs="仿宋_GB2312"/>
          <w:sz w:val="32"/>
          <w:szCs w:val="32"/>
        </w:rPr>
        <w:t>，自述左侧肋骨及右侧腿部疼痛。谢宝东随即电话通知于凤凯。</w:t>
      </w:r>
      <w:r>
        <w:rPr>
          <w:rFonts w:hint="eastAsia" w:ascii="仿宋" w:hAnsi="仿宋" w:eastAsia="仿宋" w:cs="仿宋"/>
          <w:color w:val="auto"/>
          <w:sz w:val="32"/>
          <w:szCs w:val="32"/>
          <w:highlight w:val="none"/>
          <w:lang w:val="en-US" w:eastAsia="zh-CN"/>
        </w:rPr>
        <w:t>现场有视频可回溯事故发生经过。</w:t>
      </w:r>
    </w:p>
    <w:p w14:paraId="65FCC0AD">
      <w:pPr>
        <w:pStyle w:val="7"/>
        <w:rPr>
          <w:rFonts w:hint="eastAsia" w:eastAsia="仿宋"/>
          <w:lang w:eastAsia="zh-CN"/>
        </w:rPr>
      </w:pPr>
    </w:p>
    <w:p w14:paraId="72D73DBC">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yellow"/>
          <w:lang w:val="en-US" w:eastAsia="zh-CN"/>
        </w:rPr>
      </w:pPr>
      <w:r>
        <w:rPr>
          <w:rFonts w:hint="eastAsia" w:eastAsia="仿宋"/>
          <w:lang w:eastAsia="zh-CN"/>
        </w:rPr>
        <w:drawing>
          <wp:anchor distT="0" distB="0" distL="114300" distR="114300" simplePos="0" relativeHeight="251661312" behindDoc="1" locked="0" layoutInCell="1" allowOverlap="1">
            <wp:simplePos x="0" y="0"/>
            <wp:positionH relativeFrom="column">
              <wp:posOffset>557530</wp:posOffset>
            </wp:positionH>
            <wp:positionV relativeFrom="paragraph">
              <wp:posOffset>19050</wp:posOffset>
            </wp:positionV>
            <wp:extent cx="4420235" cy="3315970"/>
            <wp:effectExtent l="0" t="0" r="18415" b="17780"/>
            <wp:wrapNone/>
            <wp:docPr id="1" name="图片 1" descr="IMG_20260411_18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60411_184533"/>
                    <pic:cNvPicPr>
                      <a:picLocks noChangeAspect="1"/>
                    </pic:cNvPicPr>
                  </pic:nvPicPr>
                  <pic:blipFill>
                    <a:blip r:embed="rId6"/>
                    <a:stretch>
                      <a:fillRect/>
                    </a:stretch>
                  </pic:blipFill>
                  <pic:spPr>
                    <a:xfrm>
                      <a:off x="0" y="0"/>
                      <a:ext cx="4420235" cy="3315970"/>
                    </a:xfrm>
                    <a:prstGeom prst="rect">
                      <a:avLst/>
                    </a:prstGeom>
                  </pic:spPr>
                </pic:pic>
              </a:graphicData>
            </a:graphic>
          </wp:anchor>
        </w:drawing>
      </w:r>
    </w:p>
    <w:p w14:paraId="1A202C91">
      <w:pPr>
        <w:pStyle w:val="7"/>
        <w:rPr>
          <w:rFonts w:hint="default"/>
          <w:lang w:val="en-US" w:eastAsia="zh-CN"/>
        </w:rPr>
      </w:pPr>
    </w:p>
    <w:p w14:paraId="5AE8B5D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2E8148E6">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243EACF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6695B618">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358F9012">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71F792CF">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34E3554F">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6D9CEE5B">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42CD0E6">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图</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事故现场</w:t>
      </w:r>
      <w:r>
        <w:rPr>
          <w:rFonts w:hint="eastAsia" w:ascii="宋体" w:hAnsi="宋体" w:cs="宋体"/>
          <w:color w:val="000000" w:themeColor="text1"/>
          <w:sz w:val="24"/>
          <w:szCs w:val="24"/>
          <w:highlight w:val="none"/>
          <w:lang w:val="en-US" w:eastAsia="zh-CN"/>
          <w14:textFill>
            <w14:solidFill>
              <w14:schemeClr w14:val="tx1"/>
            </w14:solidFill>
          </w14:textFill>
        </w:rPr>
        <w:t>实景图</w:t>
      </w:r>
    </w:p>
    <w:p w14:paraId="2AB1B1E1">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drawing>
          <wp:anchor distT="0" distB="0" distL="114300" distR="114300" simplePos="0" relativeHeight="251660288" behindDoc="0" locked="0" layoutInCell="1" allowOverlap="1">
            <wp:simplePos x="0" y="0"/>
            <wp:positionH relativeFrom="column">
              <wp:posOffset>509905</wp:posOffset>
            </wp:positionH>
            <wp:positionV relativeFrom="paragraph">
              <wp:posOffset>142240</wp:posOffset>
            </wp:positionV>
            <wp:extent cx="4436110" cy="3327400"/>
            <wp:effectExtent l="0" t="0" r="2540" b="6350"/>
            <wp:wrapNone/>
            <wp:docPr id="2" name="图片 2" descr="IMG_20260411_19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60411_190149"/>
                    <pic:cNvPicPr>
                      <a:picLocks noChangeAspect="1"/>
                    </pic:cNvPicPr>
                  </pic:nvPicPr>
                  <pic:blipFill>
                    <a:blip r:embed="rId7"/>
                    <a:stretch>
                      <a:fillRect/>
                    </a:stretch>
                  </pic:blipFill>
                  <pic:spPr>
                    <a:xfrm>
                      <a:off x="0" y="0"/>
                      <a:ext cx="4436110" cy="3327400"/>
                    </a:xfrm>
                    <a:prstGeom prst="rect">
                      <a:avLst/>
                    </a:prstGeom>
                  </pic:spPr>
                </pic:pic>
              </a:graphicData>
            </a:graphic>
          </wp:anchor>
        </w:drawing>
      </w:r>
    </w:p>
    <w:p w14:paraId="663D15E4">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5C43E913">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26E686DE">
      <w:pPr>
        <w:pStyle w:val="7"/>
        <w:rPr>
          <w:rFonts w:hint="eastAsia" w:ascii="宋体" w:hAnsi="宋体" w:eastAsia="宋体" w:cs="宋体"/>
          <w:sz w:val="24"/>
          <w:szCs w:val="24"/>
          <w:highlight w:val="none"/>
          <w:lang w:val="en-US" w:eastAsia="zh-CN"/>
        </w:rPr>
      </w:pPr>
    </w:p>
    <w:p w14:paraId="7AB058BC">
      <w:pPr>
        <w:pStyle w:val="7"/>
        <w:rPr>
          <w:rFonts w:hint="eastAsia" w:ascii="宋体" w:hAnsi="宋体" w:eastAsia="宋体" w:cs="宋体"/>
          <w:sz w:val="24"/>
          <w:szCs w:val="24"/>
          <w:highlight w:val="none"/>
          <w:lang w:val="en-US" w:eastAsia="zh-CN"/>
        </w:rPr>
      </w:pPr>
    </w:p>
    <w:p w14:paraId="00742969">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495B1E57">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E0D3645">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41373D21">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CDFEC7A">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584C533D">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660E779A">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图</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坠落地点天车轨道现场图</w:t>
      </w:r>
    </w:p>
    <w:p w14:paraId="341010A4">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3D5A472D">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drawing>
          <wp:anchor distT="0" distB="0" distL="114300" distR="114300" simplePos="0" relativeHeight="251661312" behindDoc="1" locked="0" layoutInCell="1" allowOverlap="1">
            <wp:simplePos x="0" y="0"/>
            <wp:positionH relativeFrom="column">
              <wp:posOffset>601980</wp:posOffset>
            </wp:positionH>
            <wp:positionV relativeFrom="paragraph">
              <wp:posOffset>-248285</wp:posOffset>
            </wp:positionV>
            <wp:extent cx="4113530" cy="3085465"/>
            <wp:effectExtent l="0" t="0" r="1270" b="635"/>
            <wp:wrapNone/>
            <wp:docPr id="3" name="图片 3" descr="IMG_20260411_19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60411_190201"/>
                    <pic:cNvPicPr>
                      <a:picLocks noChangeAspect="1"/>
                    </pic:cNvPicPr>
                  </pic:nvPicPr>
                  <pic:blipFill>
                    <a:blip r:embed="rId8"/>
                    <a:stretch>
                      <a:fillRect/>
                    </a:stretch>
                  </pic:blipFill>
                  <pic:spPr>
                    <a:xfrm>
                      <a:off x="0" y="0"/>
                      <a:ext cx="4113530" cy="3085465"/>
                    </a:xfrm>
                    <a:prstGeom prst="rect">
                      <a:avLst/>
                    </a:prstGeom>
                  </pic:spPr>
                </pic:pic>
              </a:graphicData>
            </a:graphic>
          </wp:anchor>
        </w:drawing>
      </w:r>
    </w:p>
    <w:p w14:paraId="4D1F1137">
      <w:pPr>
        <w:pStyle w:val="7"/>
        <w:rPr>
          <w:rFonts w:hint="eastAsia" w:ascii="宋体" w:hAnsi="宋体" w:eastAsia="宋体" w:cs="宋体"/>
          <w:sz w:val="24"/>
          <w:szCs w:val="24"/>
          <w:highlight w:val="none"/>
          <w:lang w:val="en-US" w:eastAsia="zh-CN"/>
        </w:rPr>
      </w:pPr>
    </w:p>
    <w:p w14:paraId="66FE3AA0">
      <w:pPr>
        <w:pStyle w:val="7"/>
        <w:rPr>
          <w:rFonts w:hint="eastAsia" w:ascii="宋体" w:hAnsi="宋体" w:eastAsia="宋体" w:cs="宋体"/>
          <w:sz w:val="24"/>
          <w:szCs w:val="24"/>
          <w:highlight w:val="none"/>
          <w:lang w:val="en-US" w:eastAsia="zh-CN"/>
        </w:rPr>
      </w:pPr>
    </w:p>
    <w:p w14:paraId="717384B9">
      <w:pPr>
        <w:pStyle w:val="7"/>
        <w:rPr>
          <w:rFonts w:hint="eastAsia" w:ascii="宋体" w:hAnsi="宋体" w:eastAsia="宋体" w:cs="宋体"/>
          <w:sz w:val="24"/>
          <w:szCs w:val="24"/>
          <w:highlight w:val="none"/>
          <w:lang w:val="en-US" w:eastAsia="zh-CN"/>
        </w:rPr>
      </w:pPr>
    </w:p>
    <w:p w14:paraId="2F951C1D">
      <w:pPr>
        <w:pStyle w:val="7"/>
        <w:rPr>
          <w:rFonts w:hint="eastAsia" w:ascii="宋体" w:hAnsi="宋体" w:eastAsia="宋体" w:cs="宋体"/>
          <w:sz w:val="24"/>
          <w:szCs w:val="24"/>
          <w:highlight w:val="none"/>
          <w:lang w:val="en-US" w:eastAsia="zh-CN"/>
        </w:rPr>
      </w:pPr>
    </w:p>
    <w:p w14:paraId="5AF41EDC">
      <w:pPr>
        <w:pStyle w:val="7"/>
        <w:rPr>
          <w:rFonts w:hint="eastAsia" w:ascii="宋体" w:hAnsi="宋体" w:eastAsia="宋体" w:cs="宋体"/>
          <w:sz w:val="24"/>
          <w:szCs w:val="24"/>
          <w:highlight w:val="none"/>
          <w:lang w:val="en-US" w:eastAsia="zh-CN"/>
        </w:rPr>
      </w:pPr>
    </w:p>
    <w:p w14:paraId="05B55CAF">
      <w:pPr>
        <w:pStyle w:val="7"/>
        <w:rPr>
          <w:rFonts w:hint="eastAsia" w:ascii="宋体" w:hAnsi="宋体" w:eastAsia="宋体" w:cs="宋体"/>
          <w:sz w:val="24"/>
          <w:szCs w:val="24"/>
          <w:highlight w:val="none"/>
          <w:lang w:val="en-US" w:eastAsia="zh-CN"/>
        </w:rPr>
      </w:pPr>
    </w:p>
    <w:p w14:paraId="08020E62">
      <w:pPr>
        <w:pStyle w:val="7"/>
        <w:rPr>
          <w:rFonts w:hint="eastAsia" w:ascii="宋体" w:hAnsi="宋体" w:eastAsia="宋体" w:cs="宋体"/>
          <w:sz w:val="24"/>
          <w:szCs w:val="24"/>
          <w:highlight w:val="none"/>
          <w:lang w:val="en-US" w:eastAsia="zh-CN"/>
        </w:rPr>
      </w:pPr>
    </w:p>
    <w:p w14:paraId="228CF1C4">
      <w:pPr>
        <w:pStyle w:val="7"/>
        <w:rPr>
          <w:rFonts w:hint="eastAsia" w:ascii="宋体" w:hAnsi="宋体" w:eastAsia="宋体" w:cs="宋体"/>
          <w:sz w:val="24"/>
          <w:szCs w:val="24"/>
          <w:highlight w:val="none"/>
          <w:lang w:val="en-US" w:eastAsia="zh-CN"/>
        </w:rPr>
      </w:pPr>
    </w:p>
    <w:p w14:paraId="169F5143">
      <w:pPr>
        <w:pStyle w:val="7"/>
        <w:rPr>
          <w:rFonts w:hint="eastAsia" w:ascii="宋体" w:hAnsi="宋体" w:eastAsia="宋体" w:cs="宋体"/>
          <w:sz w:val="24"/>
          <w:szCs w:val="24"/>
          <w:highlight w:val="none"/>
          <w:lang w:val="en-US" w:eastAsia="zh-CN"/>
        </w:rPr>
      </w:pPr>
    </w:p>
    <w:p w14:paraId="2933D5BE">
      <w:pPr>
        <w:pStyle w:val="7"/>
        <w:rPr>
          <w:rFonts w:hint="eastAsia" w:ascii="宋体" w:hAnsi="宋体" w:eastAsia="宋体" w:cs="宋体"/>
          <w:sz w:val="24"/>
          <w:szCs w:val="24"/>
          <w:highlight w:val="none"/>
          <w:lang w:val="en-US" w:eastAsia="zh-CN"/>
        </w:rPr>
      </w:pPr>
    </w:p>
    <w:p w14:paraId="54D190C9">
      <w:pPr>
        <w:pStyle w:val="7"/>
        <w:rPr>
          <w:rFonts w:hint="eastAsia" w:ascii="宋体" w:hAnsi="宋体" w:eastAsia="宋体" w:cs="宋体"/>
          <w:sz w:val="24"/>
          <w:szCs w:val="24"/>
          <w:highlight w:val="none"/>
          <w:lang w:val="en-US" w:eastAsia="zh-CN"/>
        </w:rPr>
      </w:pPr>
    </w:p>
    <w:p w14:paraId="23FECCE6">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6FB7C5EE">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图</w:t>
      </w:r>
      <w:r>
        <w:rPr>
          <w:rFonts w:hint="eastAsia" w:ascii="宋体" w:hAnsi="宋体" w:cs="宋体"/>
          <w:sz w:val="24"/>
          <w:szCs w:val="24"/>
          <w:highlight w:val="none"/>
          <w:lang w:val="en-US" w:eastAsia="zh-CN"/>
        </w:rPr>
        <w:t>3坠落地点现场俯视图</w:t>
      </w:r>
    </w:p>
    <w:p w14:paraId="55C902ED">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r>
        <w:drawing>
          <wp:anchor distT="0" distB="0" distL="114300" distR="114300" simplePos="0" relativeHeight="251659264" behindDoc="1" locked="0" layoutInCell="1" allowOverlap="1">
            <wp:simplePos x="0" y="0"/>
            <wp:positionH relativeFrom="column">
              <wp:posOffset>614045</wp:posOffset>
            </wp:positionH>
            <wp:positionV relativeFrom="paragraph">
              <wp:posOffset>15240</wp:posOffset>
            </wp:positionV>
            <wp:extent cx="4196080" cy="4326890"/>
            <wp:effectExtent l="0" t="0" r="7620" b="3810"/>
            <wp:wrapTight wrapText="bothSides">
              <wp:wrapPolygon>
                <wp:start x="0" y="0"/>
                <wp:lineTo x="0" y="21556"/>
                <wp:lineTo x="21508" y="21556"/>
                <wp:lineTo x="21508" y="0"/>
                <wp:lineTo x="0" y="0"/>
              </wp:wrapPolygon>
            </wp:wrapTight>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4196080" cy="4326890"/>
                    </a:xfrm>
                    <a:prstGeom prst="rect">
                      <a:avLst/>
                    </a:prstGeom>
                    <a:noFill/>
                    <a:ln>
                      <a:noFill/>
                    </a:ln>
                  </pic:spPr>
                </pic:pic>
              </a:graphicData>
            </a:graphic>
          </wp:anchor>
        </w:drawing>
      </w:r>
    </w:p>
    <w:p w14:paraId="381FF173">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5968E6E9">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AF02966">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90637BE">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36EF3943">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70E96F2">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386D0CBE">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453FC621">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3B8AF82F">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0308B839">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72FC3C66">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eastAsia="宋体" w:cs="宋体"/>
          <w:sz w:val="24"/>
          <w:szCs w:val="24"/>
          <w:highlight w:val="none"/>
          <w:lang w:val="en-US" w:eastAsia="zh-CN"/>
        </w:rPr>
      </w:pPr>
    </w:p>
    <w:p w14:paraId="65ED1021">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图</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 xml:space="preserve"> 事故现场</w:t>
      </w:r>
      <w:r>
        <w:rPr>
          <w:rFonts w:hint="eastAsia" w:ascii="宋体" w:hAnsi="宋体" w:cs="宋体"/>
          <w:sz w:val="24"/>
          <w:szCs w:val="24"/>
          <w:highlight w:val="none"/>
          <w:lang w:val="en-US" w:eastAsia="zh-CN"/>
        </w:rPr>
        <w:t>平面示意图</w:t>
      </w:r>
    </w:p>
    <w:p w14:paraId="43E4C184">
      <w:pPr>
        <w:keepNext w:val="0"/>
        <w:keepLines w:val="0"/>
        <w:pageBreakBefore w:val="0"/>
        <w:widowControl w:val="0"/>
        <w:tabs>
          <w:tab w:val="left" w:pos="3649"/>
          <w:tab w:val="center" w:pos="4213"/>
        </w:tabs>
        <w:kinsoku/>
        <w:wordWrap/>
        <w:overflowPunct/>
        <w:topLinePunct w:val="0"/>
        <w:autoSpaceDE/>
        <w:autoSpaceDN/>
        <w:bidi w:val="0"/>
        <w:adjustRightInd/>
        <w:spacing w:line="560" w:lineRule="exact"/>
        <w:jc w:val="center"/>
        <w:textAlignment w:val="auto"/>
        <w:rPr>
          <w:rFonts w:hint="eastAsia" w:ascii="宋体" w:hAnsi="宋体" w:cs="宋体"/>
          <w:sz w:val="24"/>
          <w:szCs w:val="24"/>
          <w:highlight w:val="none"/>
          <w:lang w:val="en-US" w:eastAsia="zh-CN"/>
        </w:rPr>
      </w:pPr>
    </w:p>
    <w:p w14:paraId="5F0F7A0C">
      <w:pPr>
        <w:keepNext w:val="0"/>
        <w:keepLines w:val="0"/>
        <w:pageBreakBefore w:val="0"/>
        <w:kinsoku/>
        <w:wordWrap/>
        <w:overflowPunct/>
        <w:topLinePunct w:val="0"/>
        <w:autoSpaceDE w:val="0"/>
        <w:autoSpaceDN w:val="0"/>
        <w:bidi w:val="0"/>
        <w:adjustRightInd w:val="0"/>
        <w:spacing w:line="560" w:lineRule="exact"/>
        <w:ind w:left="420"/>
        <w:textAlignment w:val="auto"/>
        <w:outlineLvl w:val="1"/>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sz w:val="32"/>
          <w:szCs w:val="32"/>
          <w:highlight w:val="none"/>
          <w:lang w:val="en-US" w:eastAsia="zh-CN"/>
        </w:rPr>
        <w:t>（二）事故救援情况</w:t>
      </w:r>
    </w:p>
    <w:p w14:paraId="5E121C26">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仿宋_GB2312" w:hAnsi="仿宋_GB2312" w:eastAsia="仿宋_GB2312" w:cs="仿宋_GB2312"/>
          <w:bCs/>
          <w:color w:val="auto"/>
          <w:sz w:val="32"/>
          <w:szCs w:val="32"/>
          <w:highlight w:val="none"/>
          <w:u w:val="none"/>
          <w:lang w:val="en-US" w:eastAsia="zh-CN"/>
        </w:rPr>
      </w:pPr>
      <w:r>
        <w:rPr>
          <w:rFonts w:hint="eastAsia" w:ascii="仿宋" w:hAnsi="仿宋" w:eastAsia="仿宋" w:cs="仿宋_GB2312"/>
          <w:sz w:val="32"/>
          <w:szCs w:val="32"/>
        </w:rPr>
        <w:t>16时46分许，于凤凯接到通知后，立即驾驶皮卡车辆</w:t>
      </w:r>
      <w:r>
        <w:rPr>
          <w:rFonts w:hint="eastAsia" w:ascii="仿宋" w:hAnsi="仿宋" w:eastAsia="仿宋" w:cs="仿宋_GB2312"/>
          <w:sz w:val="32"/>
          <w:szCs w:val="32"/>
          <w:lang w:eastAsia="zh-CN"/>
        </w:rPr>
        <w:t>赶往现场</w:t>
      </w:r>
      <w:r>
        <w:rPr>
          <w:rFonts w:hint="eastAsia" w:ascii="仿宋" w:hAnsi="仿宋" w:eastAsia="仿宋" w:cs="仿宋_GB2312"/>
          <w:sz w:val="32"/>
          <w:szCs w:val="32"/>
        </w:rPr>
        <w:t>，搭载谢宝东、田作锋一同将董伟送往抚顺市第二医院进行抢救。18时20分许，董伟经抢救无效宣告死亡。</w:t>
      </w:r>
    </w:p>
    <w:p w14:paraId="4FA8FEC1">
      <w:pPr>
        <w:keepNext w:val="0"/>
        <w:keepLines w:val="0"/>
        <w:pageBreakBefore w:val="0"/>
        <w:kinsoku/>
        <w:wordWrap/>
        <w:overflowPunct/>
        <w:topLinePunct w:val="0"/>
        <w:autoSpaceDE w:val="0"/>
        <w:autoSpaceDN w:val="0"/>
        <w:bidi w:val="0"/>
        <w:adjustRightInd w:val="0"/>
        <w:spacing w:line="560" w:lineRule="exact"/>
        <w:ind w:left="420"/>
        <w:textAlignment w:val="auto"/>
        <w:outlineLvl w:val="1"/>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sz w:val="32"/>
          <w:szCs w:val="32"/>
          <w:highlight w:val="none"/>
          <w:lang w:val="en-US" w:eastAsia="zh-CN"/>
        </w:rPr>
        <w:t>（三）事故瞒报情况</w:t>
      </w:r>
    </w:p>
    <w:p w14:paraId="14CAF645">
      <w:pPr>
        <w:keepNext w:val="0"/>
        <w:keepLines w:val="0"/>
        <w:pageBreakBefore w:val="0"/>
        <w:kinsoku/>
        <w:wordWrap/>
        <w:overflowPunct/>
        <w:topLinePunct w:val="0"/>
        <w:autoSpaceDE w:val="0"/>
        <w:bidi w:val="0"/>
        <w:snapToGrid w:val="0"/>
        <w:spacing w:line="560" w:lineRule="exact"/>
        <w:ind w:firstLine="640" w:firstLineChars="200"/>
        <w:textAlignment w:val="auto"/>
        <w:rPr>
          <w:rFonts w:hint="default" w:ascii="仿宋" w:hAnsi="仿宋" w:eastAsia="仿宋" w:cs="仿宋_GB2312"/>
          <w:color w:val="FF0000"/>
          <w:sz w:val="32"/>
          <w:szCs w:val="32"/>
          <w:lang w:val="en-US" w:eastAsia="zh-CN"/>
        </w:rPr>
      </w:pPr>
      <w:r>
        <w:rPr>
          <w:rFonts w:hint="eastAsia" w:ascii="仿宋" w:hAnsi="仿宋" w:eastAsia="仿宋" w:cs="仿宋_GB2312"/>
          <w:sz w:val="32"/>
          <w:szCs w:val="32"/>
          <w:lang w:val="en-US" w:eastAsia="zh-CN"/>
        </w:rPr>
        <w:t>事故发生后，于凤凯认为事故报告后，政府将对事故责任单位实施行政处罚，同时其与辽宁龙宇建设公司签订的《工程承包协议书》</w:t>
      </w:r>
      <w:r>
        <w:rPr>
          <w:rStyle w:val="17"/>
          <w:rFonts w:hint="eastAsia" w:ascii="仿宋" w:hAnsi="仿宋" w:eastAsia="仿宋" w:cs="仿宋_GB2312"/>
          <w:sz w:val="32"/>
          <w:szCs w:val="32"/>
          <w:lang w:val="en-US" w:eastAsia="zh-CN"/>
        </w:rPr>
        <w:t>[</w:t>
      </w:r>
      <w:r>
        <w:rPr>
          <w:rStyle w:val="17"/>
          <w:rFonts w:hint="eastAsia" w:ascii="仿宋" w:hAnsi="仿宋" w:eastAsia="仿宋" w:cs="仿宋_GB2312"/>
          <w:sz w:val="32"/>
          <w:szCs w:val="32"/>
          <w:lang w:val="en-US" w:eastAsia="zh-CN"/>
        </w:rPr>
        <w:footnoteReference w:id="0"/>
      </w:r>
      <w:r>
        <w:rPr>
          <w:rStyle w:val="17"/>
          <w:rFonts w:hint="eastAsia" w:ascii="仿宋" w:hAnsi="仿宋" w:eastAsia="仿宋" w:cs="仿宋_GB2312"/>
          <w:sz w:val="32"/>
          <w:szCs w:val="32"/>
          <w:lang w:val="en-US" w:eastAsia="zh-CN"/>
        </w:rPr>
        <w:t>]</w:t>
      </w:r>
      <w:r>
        <w:rPr>
          <w:rFonts w:hint="eastAsia" w:ascii="仿宋" w:hAnsi="仿宋" w:eastAsia="仿宋" w:cs="仿宋_GB2312"/>
          <w:sz w:val="32"/>
          <w:szCs w:val="32"/>
          <w:lang w:val="en-US" w:eastAsia="zh-CN"/>
        </w:rPr>
        <w:t>约定发生死亡事故后于凤凯将承担公司罚款，同时考虑发生事故可能失去与抚顺特钢公司合作机会，于凤凯决定对事故瞒报，未向辽宁龙宇建设公司、抚顺</w:t>
      </w:r>
      <w:r>
        <w:rPr>
          <w:rFonts w:hint="eastAsia" w:ascii="仿宋" w:hAnsi="仿宋" w:eastAsia="仿宋" w:cs="仿宋_GB2312"/>
          <w:color w:val="auto"/>
          <w:sz w:val="32"/>
          <w:szCs w:val="32"/>
          <w:lang w:val="en-US" w:eastAsia="zh-CN"/>
        </w:rPr>
        <w:t>特钢公司及政府有关部门报告事故发生情况。期间，于凤凯与董伟家属达成</w:t>
      </w:r>
      <w:r>
        <w:rPr>
          <w:rFonts w:hint="eastAsia" w:ascii="仿宋" w:hAnsi="仿宋" w:eastAsia="仿宋" w:cs="仿宋_GB2312"/>
          <w:sz w:val="32"/>
          <w:szCs w:val="32"/>
          <w:lang w:val="en-US" w:eastAsia="zh-CN"/>
        </w:rPr>
        <w:t>赔偿150万元的意向</w:t>
      </w:r>
      <w:r>
        <w:rPr>
          <w:rFonts w:hint="eastAsia" w:ascii="仿宋" w:hAnsi="仿宋" w:eastAsia="仿宋" w:cs="仿宋_GB2312"/>
          <w:color w:val="auto"/>
          <w:sz w:val="32"/>
          <w:szCs w:val="32"/>
          <w:lang w:val="en-US" w:eastAsia="zh-CN"/>
        </w:rPr>
        <w:t>。</w:t>
      </w:r>
    </w:p>
    <w:p w14:paraId="35E6BB2A">
      <w:pPr>
        <w:keepNext w:val="0"/>
        <w:keepLines w:val="0"/>
        <w:pageBreakBefore w:val="0"/>
        <w:kinsoku/>
        <w:wordWrap/>
        <w:overflowPunct/>
        <w:topLinePunct w:val="0"/>
        <w:autoSpaceDE w:val="0"/>
        <w:bidi w:val="0"/>
        <w:snapToGrid w:val="0"/>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2026年4月11日，董伟家属为办理死亡证明前往望花区雷锋路派出所，望花区雷锋路派出所发现董伟系非正常死亡，将可疑线索立即上报至市公安局。市公安局接到报告后，第一时间将事故线索移交至市应急局，市应急局立即组织开展事故核查，经对于凤凯进行询问，于凤凯承认事故发生、事故存在瞒报。</w:t>
      </w:r>
    </w:p>
    <w:p w14:paraId="0013AB0B">
      <w:pPr>
        <w:keepNext w:val="0"/>
        <w:keepLines w:val="0"/>
        <w:pageBreakBefore w:val="0"/>
        <w:widowControl w:val="0"/>
        <w:kinsoku/>
        <w:wordWrap/>
        <w:overflowPunct/>
        <w:topLinePunct w:val="0"/>
        <w:autoSpaceDE/>
        <w:autoSpaceDN/>
        <w:bidi w:val="0"/>
        <w:adjustRightInd/>
        <w:spacing w:line="560" w:lineRule="exact"/>
        <w:ind w:firstLine="630"/>
        <w:jc w:val="left"/>
        <w:textAlignment w:val="auto"/>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针对事故瞒报情况，市公安局“4·8”瞒报调查专案组开展立案侦查，出具了《辽宁龙宇建设公司“4·8”安全生产责任事故工作开展情况》。市公安局治安支队会同望花分局治安大队、建设派出所，进行以下立案侦查工作：</w:t>
      </w:r>
    </w:p>
    <w:p w14:paraId="48D5EDD8">
      <w:pPr>
        <w:keepNext w:val="0"/>
        <w:keepLines w:val="0"/>
        <w:pageBreakBefore w:val="0"/>
        <w:widowControl w:val="0"/>
        <w:kinsoku/>
        <w:wordWrap/>
        <w:overflowPunct/>
        <w:topLinePunct w:val="0"/>
        <w:autoSpaceDE/>
        <w:autoSpaceDN/>
        <w:bidi w:val="0"/>
        <w:adjustRightInd/>
        <w:spacing w:line="560" w:lineRule="exact"/>
        <w:ind w:firstLine="630"/>
        <w:jc w:val="left"/>
        <w:textAlignment w:val="auto"/>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书证调取，调取轧钢厂及辽宁龙宇建设公司安全生产类书证19份。2.视频资料调取，辽宁龙宇建设公司4月1日至8日施工现场监控；董伟送医救治过程医院监控。3.人员询问情况，辽宁龙宇建设公司相关人员共16人；抚顺特钢公司相关人员共4人；死者家属及丧葬人员。4.保险情况核查，辽宁龙宇建设公司在中国人寿投保寿险意外险及财产险，在浙商财产保险投保财产险，截至目前均未启动赔付程序。5.通讯数据核查，对马俊、王世伟、于凤凯、于佳琦4人通话记录及手机电子数据进行采集固定，未发现能够直接证明上述人员共谋瞒报的客观证据。</w:t>
      </w:r>
    </w:p>
    <w:p w14:paraId="62939AD1">
      <w:pPr>
        <w:keepNext w:val="0"/>
        <w:keepLines w:val="0"/>
        <w:pageBreakBefore w:val="0"/>
        <w:widowControl w:val="0"/>
        <w:kinsoku/>
        <w:wordWrap/>
        <w:overflowPunct/>
        <w:topLinePunct w:val="0"/>
        <w:autoSpaceDE/>
        <w:autoSpaceDN/>
        <w:bidi w:val="0"/>
        <w:adjustRightInd/>
        <w:spacing w:line="560" w:lineRule="exact"/>
        <w:ind w:firstLine="630"/>
        <w:jc w:val="left"/>
        <w:textAlignment w:val="auto"/>
        <w:rPr>
          <w:rFonts w:hint="eastAsia" w:ascii="仿宋" w:hAnsi="仿宋" w:eastAsia="仿宋" w:cs="仿宋_GB2312"/>
          <w:color w:val="auto"/>
          <w:sz w:val="32"/>
          <w:szCs w:val="32"/>
          <w:highlight w:val="yellow"/>
          <w:lang w:val="en-US" w:eastAsia="zh-CN"/>
        </w:rPr>
      </w:pPr>
      <w:r>
        <w:rPr>
          <w:rFonts w:hint="eastAsia" w:ascii="仿宋" w:hAnsi="仿宋" w:eastAsia="仿宋" w:cs="仿宋_GB2312"/>
          <w:color w:val="auto"/>
          <w:sz w:val="32"/>
          <w:szCs w:val="32"/>
          <w:highlight w:val="none"/>
          <w:lang w:val="en-US" w:eastAsia="zh-CN"/>
        </w:rPr>
        <w:t>综上得出调查结论，一是基本排除抚顺特钢公司方面瞒报嫌疑。二是辽宁龙宇建设公司除于凤凯主动承担瞒报责任外，暂未取得公司其他管理人员参与瞒报的直接证据，公司层面瞒报的主观故意及共谋证据不足。</w:t>
      </w:r>
    </w:p>
    <w:p w14:paraId="4387D589">
      <w:pPr>
        <w:keepNext w:val="0"/>
        <w:keepLines w:val="0"/>
        <w:pageBreakBefore w:val="0"/>
        <w:widowControl w:val="0"/>
        <w:kinsoku/>
        <w:wordWrap/>
        <w:overflowPunct/>
        <w:topLinePunct w:val="0"/>
        <w:autoSpaceDE/>
        <w:autoSpaceDN/>
        <w:bidi w:val="0"/>
        <w:adjustRightInd/>
        <w:spacing w:line="560" w:lineRule="exact"/>
        <w:ind w:firstLine="630"/>
        <w:jc w:val="left"/>
        <w:textAlignment w:val="auto"/>
        <w:rPr>
          <w:rFonts w:hint="eastAsia" w:ascii="楷体_GB2312" w:hAnsi="楷体_GB2312" w:eastAsia="楷体_GB2312" w:cs="楷体_GB2312"/>
          <w:b/>
          <w:sz w:val="32"/>
          <w:szCs w:val="32"/>
          <w:highlight w:val="none"/>
          <w:lang w:val="en-US" w:eastAsia="zh-CN"/>
        </w:rPr>
      </w:pPr>
      <w:r>
        <w:rPr>
          <w:rFonts w:hint="eastAsia" w:ascii="楷体_GB2312" w:hAnsi="楷体_GB2312" w:eastAsia="楷体_GB2312" w:cs="楷体_GB2312"/>
          <w:b/>
          <w:sz w:val="32"/>
          <w:szCs w:val="32"/>
          <w:highlight w:val="none"/>
          <w:lang w:val="en-US" w:eastAsia="zh-CN"/>
        </w:rPr>
        <w:t>（四）司法鉴定情况</w:t>
      </w:r>
    </w:p>
    <w:p w14:paraId="28D87812">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Cs/>
          <w:color w:val="auto"/>
          <w:sz w:val="32"/>
          <w:szCs w:val="32"/>
          <w:highlight w:val="none"/>
          <w:u w:val="none"/>
          <w:lang w:val="en-US" w:eastAsia="zh-CN"/>
        </w:rPr>
      </w:pPr>
      <w:r>
        <w:rPr>
          <w:rFonts w:hint="eastAsia" w:ascii="仿宋_GB2312" w:hAnsi="仿宋_GB2312" w:eastAsia="仿宋_GB2312" w:cs="仿宋_GB2312"/>
          <w:bCs/>
          <w:color w:val="auto"/>
          <w:sz w:val="32"/>
          <w:szCs w:val="32"/>
          <w:highlight w:val="none"/>
          <w:u w:val="none"/>
          <w:lang w:val="en-US" w:eastAsia="zh-CN"/>
        </w:rPr>
        <w:t>抚顺公正司法鉴定所出具的抚顺公正司鉴［2026］病鉴字第128号《抚顺公正司法鉴定所司法鉴定意见书》中，董伟血液中未检出乙醇成分，未检出常见毒(药)物、毒品成分，可以排除乙醇及常见毒(药)物、毒品中毒，对董伟死亡原因鉴定意见：“死者董伟系因摔伤造成身体多部位遭受外力作用致胸腹盆腔脏器、腰椎及肢体严重损伤大量失血，导致失血性休克伴呼吸功能障碍而死亡。”</w:t>
      </w:r>
    </w:p>
    <w:p w14:paraId="2589B4F8">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eastAsia" w:ascii="黑体" w:hAnsi="黑体" w:eastAsia="黑体" w:cs="黑体"/>
          <w:sz w:val="32"/>
          <w:szCs w:val="32"/>
        </w:rPr>
      </w:pPr>
    </w:p>
    <w:p w14:paraId="6C5C5652">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eastAsia" w:ascii="黑体" w:hAnsi="黑体" w:eastAsia="黑体" w:cs="黑体"/>
          <w:sz w:val="32"/>
          <w:szCs w:val="32"/>
        </w:rPr>
      </w:pPr>
    </w:p>
    <w:p w14:paraId="7B8CEBA5">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ascii="黑体" w:hAnsi="黑体" w:eastAsia="黑体" w:cs="黑体"/>
          <w:bCs/>
          <w:kern w:val="1"/>
          <w:sz w:val="32"/>
          <w:szCs w:val="32"/>
        </w:rPr>
      </w:pPr>
      <w:r>
        <w:rPr>
          <w:rFonts w:hint="eastAsia" w:ascii="黑体" w:hAnsi="黑体" w:eastAsia="黑体" w:cs="黑体"/>
          <w:sz w:val="32"/>
          <w:szCs w:val="32"/>
        </w:rPr>
        <w:t>三、</w:t>
      </w:r>
      <w:r>
        <w:rPr>
          <w:rFonts w:ascii="黑体" w:hAnsi="黑体" w:eastAsia="黑体" w:cs="黑体"/>
          <w:bCs/>
          <w:kern w:val="1"/>
          <w:sz w:val="32"/>
          <w:szCs w:val="32"/>
        </w:rPr>
        <w:t>事故造成的人员伤亡和直接经济损失</w:t>
      </w:r>
    </w:p>
    <w:tbl>
      <w:tblPr>
        <w:tblStyle w:val="11"/>
        <w:tblW w:w="7938" w:type="dxa"/>
        <w:jc w:val="center"/>
        <w:tblLayout w:type="autofit"/>
        <w:tblCellMar>
          <w:top w:w="0" w:type="dxa"/>
          <w:left w:w="108" w:type="dxa"/>
          <w:bottom w:w="0" w:type="dxa"/>
          <w:right w:w="108" w:type="dxa"/>
        </w:tblCellMar>
      </w:tblPr>
      <w:tblGrid>
        <w:gridCol w:w="1210"/>
        <w:gridCol w:w="857"/>
        <w:gridCol w:w="909"/>
        <w:gridCol w:w="1665"/>
        <w:gridCol w:w="1751"/>
        <w:gridCol w:w="1546"/>
      </w:tblGrid>
      <w:tr w14:paraId="7A88B3E8">
        <w:tblPrEx>
          <w:tblCellMar>
            <w:top w:w="0" w:type="dxa"/>
            <w:left w:w="108" w:type="dxa"/>
            <w:bottom w:w="0" w:type="dxa"/>
            <w:right w:w="108" w:type="dxa"/>
          </w:tblCellMar>
        </w:tblPrEx>
        <w:trPr>
          <w:trHeight w:val="583" w:hRule="atLeast"/>
          <w:jc w:val="center"/>
        </w:trPr>
        <w:tc>
          <w:tcPr>
            <w:tcW w:w="1210" w:type="dxa"/>
            <w:tcBorders>
              <w:top w:val="single" w:color="000000" w:sz="12" w:space="0"/>
              <w:left w:val="single" w:color="000000" w:sz="12" w:space="0"/>
              <w:bottom w:val="single" w:color="000000" w:sz="4" w:space="0"/>
              <w:right w:val="single" w:color="000000" w:sz="4" w:space="0"/>
            </w:tcBorders>
            <w:noWrap w:val="0"/>
            <w:vAlign w:val="center"/>
          </w:tcPr>
          <w:p w14:paraId="738B027C">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ascii="仿宋" w:hAnsi="仿宋" w:eastAsia="仿宋" w:cs="仿宋"/>
                <w:kern w:val="1"/>
                <w:sz w:val="28"/>
                <w:szCs w:val="28"/>
              </w:rPr>
            </w:pPr>
            <w:r>
              <w:rPr>
                <w:rFonts w:hint="eastAsia" w:ascii="仿宋" w:hAnsi="仿宋" w:eastAsia="仿宋" w:cs="仿宋"/>
                <w:kern w:val="1"/>
                <w:sz w:val="28"/>
                <w:szCs w:val="28"/>
              </w:rPr>
              <w:t xml:space="preserve">   </w:t>
            </w:r>
            <w:r>
              <w:rPr>
                <w:rFonts w:ascii="仿宋" w:hAnsi="仿宋" w:eastAsia="仿宋" w:cs="仿宋"/>
                <w:kern w:val="1"/>
                <w:sz w:val="28"/>
                <w:szCs w:val="28"/>
              </w:rPr>
              <w:t>姓名</w:t>
            </w:r>
          </w:p>
        </w:tc>
        <w:tc>
          <w:tcPr>
            <w:tcW w:w="857" w:type="dxa"/>
            <w:tcBorders>
              <w:top w:val="single" w:color="000000" w:sz="12" w:space="0"/>
              <w:left w:val="single" w:color="000000" w:sz="4" w:space="0"/>
              <w:bottom w:val="single" w:color="000000" w:sz="4" w:space="0"/>
              <w:right w:val="single" w:color="000000" w:sz="4" w:space="0"/>
            </w:tcBorders>
            <w:noWrap w:val="0"/>
            <w:vAlign w:val="center"/>
          </w:tcPr>
          <w:p w14:paraId="713FE510">
            <w:pPr>
              <w:keepNext w:val="0"/>
              <w:keepLines w:val="0"/>
              <w:pageBreakBefore w:val="0"/>
              <w:widowControl w:val="0"/>
              <w:kinsoku/>
              <w:wordWrap/>
              <w:overflowPunct/>
              <w:topLinePunct w:val="0"/>
              <w:autoSpaceDN/>
              <w:bidi w:val="0"/>
              <w:adjustRightInd/>
              <w:snapToGrid/>
              <w:spacing w:line="560" w:lineRule="exact"/>
              <w:ind w:left="-420" w:firstLine="280"/>
              <w:jc w:val="right"/>
              <w:textAlignment w:val="auto"/>
              <w:rPr>
                <w:rFonts w:ascii="仿宋" w:hAnsi="仿宋" w:eastAsia="仿宋" w:cs="仿宋"/>
                <w:kern w:val="1"/>
                <w:sz w:val="28"/>
                <w:szCs w:val="28"/>
              </w:rPr>
            </w:pPr>
            <w:r>
              <w:rPr>
                <w:rFonts w:ascii="仿宋" w:hAnsi="仿宋" w:eastAsia="仿宋" w:cs="仿宋"/>
                <w:kern w:val="1"/>
                <w:sz w:val="28"/>
                <w:szCs w:val="28"/>
              </w:rPr>
              <w:t>年龄</w:t>
            </w:r>
          </w:p>
        </w:tc>
        <w:tc>
          <w:tcPr>
            <w:tcW w:w="909" w:type="dxa"/>
            <w:tcBorders>
              <w:top w:val="single" w:color="000000" w:sz="12" w:space="0"/>
              <w:left w:val="single" w:color="000000" w:sz="4" w:space="0"/>
              <w:bottom w:val="single" w:color="000000" w:sz="4" w:space="0"/>
              <w:right w:val="single" w:color="000000" w:sz="4" w:space="0"/>
            </w:tcBorders>
            <w:noWrap w:val="0"/>
            <w:vAlign w:val="center"/>
          </w:tcPr>
          <w:p w14:paraId="4BA1DCE1">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hint="eastAsia" w:ascii="仿宋" w:hAnsi="仿宋" w:eastAsia="仿宋" w:cs="仿宋"/>
                <w:kern w:val="1"/>
                <w:sz w:val="28"/>
                <w:szCs w:val="28"/>
              </w:rPr>
            </w:pPr>
            <w:r>
              <w:rPr>
                <w:rFonts w:hint="eastAsia" w:ascii="仿宋" w:hAnsi="仿宋" w:eastAsia="仿宋" w:cs="仿宋"/>
                <w:kern w:val="1"/>
                <w:sz w:val="28"/>
                <w:szCs w:val="28"/>
              </w:rPr>
              <w:t xml:space="preserve">  </w:t>
            </w:r>
            <w:r>
              <w:rPr>
                <w:rFonts w:hint="eastAsia" w:ascii="仿宋" w:hAnsi="仿宋" w:eastAsia="仿宋" w:cs="仿宋"/>
                <w:kern w:val="1"/>
                <w:sz w:val="28"/>
                <w:szCs w:val="28"/>
                <w:lang w:val="en-US" w:eastAsia="zh-CN"/>
              </w:rPr>
              <w:t xml:space="preserve"> </w:t>
            </w:r>
            <w:r>
              <w:rPr>
                <w:rFonts w:ascii="仿宋" w:hAnsi="仿宋" w:eastAsia="仿宋" w:cs="仿宋"/>
                <w:kern w:val="1"/>
                <w:sz w:val="28"/>
                <w:szCs w:val="28"/>
              </w:rPr>
              <w:t>性别</w:t>
            </w:r>
          </w:p>
        </w:tc>
        <w:tc>
          <w:tcPr>
            <w:tcW w:w="1665" w:type="dxa"/>
            <w:tcBorders>
              <w:top w:val="single" w:color="000000" w:sz="12" w:space="0"/>
              <w:left w:val="single" w:color="000000" w:sz="4" w:space="0"/>
              <w:bottom w:val="single" w:color="000000" w:sz="4" w:space="0"/>
              <w:right w:val="single" w:color="000000" w:sz="4" w:space="0"/>
            </w:tcBorders>
            <w:noWrap w:val="0"/>
            <w:vAlign w:val="center"/>
          </w:tcPr>
          <w:p w14:paraId="42FAF7F4">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hint="eastAsia" w:ascii="仿宋" w:hAnsi="仿宋" w:eastAsia="仿宋" w:cs="仿宋"/>
                <w:kern w:val="1"/>
                <w:sz w:val="28"/>
                <w:szCs w:val="28"/>
              </w:rPr>
            </w:pPr>
            <w:r>
              <w:rPr>
                <w:rFonts w:hint="eastAsia" w:ascii="仿宋" w:hAnsi="仿宋" w:eastAsia="仿宋" w:cs="仿宋"/>
                <w:kern w:val="1"/>
                <w:sz w:val="28"/>
                <w:szCs w:val="28"/>
              </w:rPr>
              <w:t xml:space="preserve">  工种</w:t>
            </w:r>
          </w:p>
        </w:tc>
        <w:tc>
          <w:tcPr>
            <w:tcW w:w="1751" w:type="dxa"/>
            <w:tcBorders>
              <w:top w:val="single" w:color="000000" w:sz="12" w:space="0"/>
              <w:left w:val="single" w:color="000000" w:sz="4" w:space="0"/>
              <w:bottom w:val="single" w:color="000000" w:sz="4" w:space="0"/>
              <w:right w:val="single" w:color="000000" w:sz="4" w:space="0"/>
            </w:tcBorders>
            <w:noWrap w:val="0"/>
            <w:vAlign w:val="center"/>
          </w:tcPr>
          <w:p w14:paraId="285FB4EA">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ascii="仿宋" w:hAnsi="仿宋" w:eastAsia="仿宋" w:cs="仿宋"/>
                <w:kern w:val="1"/>
                <w:sz w:val="28"/>
                <w:szCs w:val="28"/>
              </w:rPr>
            </w:pPr>
            <w:r>
              <w:rPr>
                <w:rFonts w:hint="eastAsia" w:ascii="仿宋" w:hAnsi="仿宋" w:eastAsia="仿宋" w:cs="仿宋"/>
                <w:kern w:val="1"/>
                <w:sz w:val="28"/>
                <w:szCs w:val="28"/>
              </w:rPr>
              <w:t xml:space="preserve">   </w:t>
            </w:r>
            <w:r>
              <w:rPr>
                <w:rFonts w:ascii="仿宋" w:hAnsi="仿宋" w:eastAsia="仿宋" w:cs="仿宋"/>
                <w:kern w:val="1"/>
                <w:sz w:val="28"/>
                <w:szCs w:val="28"/>
              </w:rPr>
              <w:t>伤害部位</w:t>
            </w:r>
          </w:p>
        </w:tc>
        <w:tc>
          <w:tcPr>
            <w:tcW w:w="1546" w:type="dxa"/>
            <w:tcBorders>
              <w:top w:val="single" w:color="000000" w:sz="12" w:space="0"/>
              <w:left w:val="single" w:color="000000" w:sz="4" w:space="0"/>
              <w:bottom w:val="single" w:color="000000" w:sz="4" w:space="0"/>
              <w:right w:val="single" w:color="000000" w:sz="12" w:space="0"/>
            </w:tcBorders>
            <w:noWrap w:val="0"/>
            <w:vAlign w:val="center"/>
          </w:tcPr>
          <w:p w14:paraId="644B07AF">
            <w:pPr>
              <w:keepNext w:val="0"/>
              <w:keepLines w:val="0"/>
              <w:pageBreakBefore w:val="0"/>
              <w:widowControl w:val="0"/>
              <w:kinsoku/>
              <w:wordWrap/>
              <w:overflowPunct/>
              <w:topLinePunct w:val="0"/>
              <w:autoSpaceDN/>
              <w:bidi w:val="0"/>
              <w:adjustRightInd/>
              <w:snapToGrid/>
              <w:spacing w:line="560" w:lineRule="exact"/>
              <w:ind w:left="-420" w:firstLine="280"/>
              <w:jc w:val="center"/>
              <w:textAlignment w:val="auto"/>
              <w:rPr>
                <w:rFonts w:ascii="仿宋" w:hAnsi="仿宋" w:eastAsia="仿宋" w:cs="仿宋"/>
                <w:kern w:val="1"/>
                <w:sz w:val="28"/>
                <w:szCs w:val="28"/>
              </w:rPr>
            </w:pPr>
            <w:r>
              <w:rPr>
                <w:rFonts w:ascii="仿宋" w:hAnsi="仿宋" w:eastAsia="仿宋" w:cs="仿宋"/>
                <w:kern w:val="1"/>
                <w:sz w:val="28"/>
                <w:szCs w:val="28"/>
              </w:rPr>
              <w:t>伤害程度</w:t>
            </w:r>
          </w:p>
        </w:tc>
      </w:tr>
      <w:tr w14:paraId="73B6DBC1">
        <w:tblPrEx>
          <w:tblCellMar>
            <w:top w:w="0" w:type="dxa"/>
            <w:left w:w="108" w:type="dxa"/>
            <w:bottom w:w="0" w:type="dxa"/>
            <w:right w:w="108" w:type="dxa"/>
          </w:tblCellMar>
        </w:tblPrEx>
        <w:trPr>
          <w:trHeight w:val="601" w:hRule="atLeast"/>
          <w:jc w:val="center"/>
        </w:trPr>
        <w:tc>
          <w:tcPr>
            <w:tcW w:w="1210" w:type="dxa"/>
            <w:tcBorders>
              <w:top w:val="single" w:color="000000" w:sz="4" w:space="0"/>
              <w:left w:val="single" w:color="000000" w:sz="12" w:space="0"/>
              <w:bottom w:val="single" w:color="000000" w:sz="12" w:space="0"/>
              <w:right w:val="single" w:color="000000" w:sz="4" w:space="0"/>
            </w:tcBorders>
            <w:noWrap w:val="0"/>
            <w:vAlign w:val="center"/>
          </w:tcPr>
          <w:p w14:paraId="282AA4B2">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hint="default" w:ascii="仿宋" w:hAnsi="仿宋" w:eastAsia="仿宋" w:cs="仿宋"/>
                <w:kern w:val="1"/>
                <w:sz w:val="28"/>
                <w:szCs w:val="28"/>
                <w:lang w:val="en-US" w:eastAsia="zh-CN"/>
              </w:rPr>
            </w:pPr>
            <w:r>
              <w:rPr>
                <w:rFonts w:hint="eastAsia" w:ascii="仿宋" w:hAnsi="仿宋" w:eastAsia="仿宋" w:cs="仿宋"/>
                <w:kern w:val="1"/>
                <w:sz w:val="28"/>
                <w:szCs w:val="28"/>
              </w:rPr>
              <w:t xml:space="preserve">   </w:t>
            </w:r>
            <w:r>
              <w:rPr>
                <w:rFonts w:hint="eastAsia" w:ascii="仿宋" w:hAnsi="仿宋" w:eastAsia="仿宋" w:cs="仿宋"/>
                <w:kern w:val="1"/>
                <w:sz w:val="28"/>
                <w:szCs w:val="28"/>
                <w:lang w:val="en-US" w:eastAsia="zh-CN"/>
              </w:rPr>
              <w:t>董伟</w:t>
            </w:r>
          </w:p>
        </w:tc>
        <w:tc>
          <w:tcPr>
            <w:tcW w:w="857" w:type="dxa"/>
            <w:tcBorders>
              <w:top w:val="single" w:color="000000" w:sz="4" w:space="0"/>
              <w:left w:val="single" w:color="000000" w:sz="4" w:space="0"/>
              <w:bottom w:val="single" w:color="000000" w:sz="12" w:space="0"/>
              <w:right w:val="single" w:color="000000" w:sz="4" w:space="0"/>
            </w:tcBorders>
            <w:noWrap w:val="0"/>
            <w:vAlign w:val="center"/>
          </w:tcPr>
          <w:p w14:paraId="428AC061">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hint="eastAsia" w:ascii="仿宋" w:hAnsi="仿宋" w:eastAsia="仿宋" w:cs="仿宋"/>
                <w:kern w:val="1"/>
                <w:sz w:val="28"/>
                <w:szCs w:val="28"/>
                <w:lang w:val="en-US" w:eastAsia="zh-CN"/>
              </w:rPr>
            </w:pPr>
            <w:r>
              <w:rPr>
                <w:rFonts w:hint="eastAsia" w:ascii="仿宋" w:hAnsi="仿宋" w:eastAsia="仿宋" w:cs="仿宋"/>
                <w:kern w:val="1"/>
                <w:sz w:val="28"/>
                <w:szCs w:val="28"/>
              </w:rPr>
              <w:t xml:space="preserve">   </w:t>
            </w:r>
            <w:r>
              <w:rPr>
                <w:rFonts w:hint="eastAsia" w:ascii="仿宋" w:hAnsi="仿宋" w:eastAsia="仿宋" w:cs="仿宋"/>
                <w:kern w:val="1"/>
                <w:sz w:val="28"/>
                <w:szCs w:val="28"/>
                <w:highlight w:val="none"/>
              </w:rPr>
              <w:t>5</w:t>
            </w:r>
            <w:r>
              <w:rPr>
                <w:rFonts w:hint="eastAsia" w:ascii="仿宋" w:hAnsi="仿宋" w:eastAsia="仿宋" w:cs="仿宋"/>
                <w:kern w:val="1"/>
                <w:sz w:val="28"/>
                <w:szCs w:val="28"/>
                <w:highlight w:val="none"/>
                <w:lang w:val="en-US" w:eastAsia="zh-CN"/>
              </w:rPr>
              <w:t>3</w:t>
            </w:r>
          </w:p>
        </w:tc>
        <w:tc>
          <w:tcPr>
            <w:tcW w:w="909" w:type="dxa"/>
            <w:tcBorders>
              <w:top w:val="single" w:color="000000" w:sz="4" w:space="0"/>
              <w:left w:val="single" w:color="000000" w:sz="4" w:space="0"/>
              <w:bottom w:val="single" w:color="000000" w:sz="12" w:space="0"/>
              <w:right w:val="single" w:color="000000" w:sz="4" w:space="0"/>
            </w:tcBorders>
            <w:noWrap w:val="0"/>
            <w:vAlign w:val="center"/>
          </w:tcPr>
          <w:p w14:paraId="04EBD2E3">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hint="eastAsia" w:ascii="仿宋" w:hAnsi="仿宋" w:eastAsia="仿宋" w:cs="仿宋"/>
                <w:kern w:val="1"/>
                <w:sz w:val="28"/>
                <w:szCs w:val="28"/>
              </w:rPr>
            </w:pPr>
            <w:r>
              <w:rPr>
                <w:rFonts w:hint="eastAsia" w:ascii="仿宋" w:hAnsi="仿宋" w:eastAsia="仿宋" w:cs="仿宋"/>
                <w:kern w:val="1"/>
                <w:sz w:val="28"/>
                <w:szCs w:val="28"/>
              </w:rPr>
              <w:t xml:space="preserve">   男</w:t>
            </w:r>
          </w:p>
        </w:tc>
        <w:tc>
          <w:tcPr>
            <w:tcW w:w="1665" w:type="dxa"/>
            <w:tcBorders>
              <w:top w:val="single" w:color="000000" w:sz="4" w:space="0"/>
              <w:left w:val="single" w:color="000000" w:sz="4" w:space="0"/>
              <w:bottom w:val="single" w:color="000000" w:sz="12" w:space="0"/>
              <w:right w:val="single" w:color="000000" w:sz="4" w:space="0"/>
            </w:tcBorders>
            <w:noWrap w:val="0"/>
            <w:vAlign w:val="center"/>
          </w:tcPr>
          <w:p w14:paraId="50BEEC87">
            <w:pPr>
              <w:keepNext w:val="0"/>
              <w:keepLines w:val="0"/>
              <w:pageBreakBefore w:val="0"/>
              <w:widowControl w:val="0"/>
              <w:kinsoku/>
              <w:wordWrap/>
              <w:overflowPunct/>
              <w:topLinePunct w:val="0"/>
              <w:autoSpaceDN/>
              <w:bidi w:val="0"/>
              <w:adjustRightInd/>
              <w:snapToGrid/>
              <w:spacing w:line="560" w:lineRule="exact"/>
              <w:jc w:val="center"/>
              <w:textAlignment w:val="auto"/>
              <w:rPr>
                <w:rFonts w:hint="eastAsia" w:ascii="仿宋" w:hAnsi="仿宋" w:eastAsia="仿宋" w:cs="仿宋"/>
                <w:kern w:val="1"/>
                <w:sz w:val="28"/>
                <w:szCs w:val="28"/>
                <w:lang w:eastAsia="zh-CN"/>
              </w:rPr>
            </w:pPr>
            <w:r>
              <w:rPr>
                <w:rFonts w:hint="eastAsia" w:ascii="仿宋" w:hAnsi="仿宋" w:eastAsia="仿宋" w:cs="仿宋"/>
                <w:kern w:val="1"/>
                <w:sz w:val="28"/>
                <w:szCs w:val="28"/>
                <w:lang w:eastAsia="zh-CN"/>
              </w:rPr>
              <w:t>高处作业工</w:t>
            </w:r>
          </w:p>
        </w:tc>
        <w:tc>
          <w:tcPr>
            <w:tcW w:w="1751" w:type="dxa"/>
            <w:tcBorders>
              <w:top w:val="single" w:color="000000" w:sz="4" w:space="0"/>
              <w:left w:val="single" w:color="000000" w:sz="4" w:space="0"/>
              <w:bottom w:val="single" w:color="000000" w:sz="12" w:space="0"/>
              <w:right w:val="single" w:color="000000" w:sz="4" w:space="0"/>
            </w:tcBorders>
            <w:noWrap w:val="0"/>
            <w:vAlign w:val="center"/>
          </w:tcPr>
          <w:p w14:paraId="3EF20794">
            <w:pPr>
              <w:keepNext w:val="0"/>
              <w:keepLines w:val="0"/>
              <w:pageBreakBefore w:val="0"/>
              <w:widowControl w:val="0"/>
              <w:kinsoku/>
              <w:wordWrap/>
              <w:overflowPunct/>
              <w:topLinePunct w:val="0"/>
              <w:autoSpaceDN/>
              <w:bidi w:val="0"/>
              <w:adjustRightInd/>
              <w:snapToGrid/>
              <w:spacing w:line="560" w:lineRule="exact"/>
              <w:ind w:left="-146" w:hanging="272"/>
              <w:jc w:val="center"/>
              <w:textAlignment w:val="auto"/>
              <w:rPr>
                <w:rFonts w:hint="eastAsia" w:ascii="仿宋" w:hAnsi="仿宋" w:eastAsia="仿宋" w:cs="仿宋"/>
                <w:kern w:val="1"/>
                <w:sz w:val="28"/>
                <w:szCs w:val="28"/>
                <w:lang w:eastAsia="zh-CN"/>
              </w:rPr>
            </w:pPr>
            <w:r>
              <w:rPr>
                <w:rFonts w:hint="eastAsia" w:ascii="仿宋" w:hAnsi="仿宋" w:eastAsia="仿宋" w:cs="仿宋"/>
                <w:kern w:val="1"/>
                <w:sz w:val="28"/>
                <w:szCs w:val="28"/>
                <w:highlight w:val="none"/>
                <w:lang w:val="en-US" w:eastAsia="zh-CN"/>
              </w:rPr>
              <w:t xml:space="preserve">   全身</w:t>
            </w:r>
          </w:p>
        </w:tc>
        <w:tc>
          <w:tcPr>
            <w:tcW w:w="1546" w:type="dxa"/>
            <w:tcBorders>
              <w:top w:val="single" w:color="000000" w:sz="4" w:space="0"/>
              <w:left w:val="single" w:color="000000" w:sz="4" w:space="0"/>
              <w:bottom w:val="single" w:color="000000" w:sz="12" w:space="0"/>
              <w:right w:val="single" w:color="000000" w:sz="12" w:space="0"/>
            </w:tcBorders>
            <w:noWrap w:val="0"/>
            <w:vAlign w:val="center"/>
          </w:tcPr>
          <w:p w14:paraId="39AEF6F4">
            <w:pPr>
              <w:keepNext w:val="0"/>
              <w:keepLines w:val="0"/>
              <w:pageBreakBefore w:val="0"/>
              <w:widowControl w:val="0"/>
              <w:kinsoku/>
              <w:wordWrap/>
              <w:overflowPunct/>
              <w:topLinePunct w:val="0"/>
              <w:autoSpaceDN/>
              <w:bidi w:val="0"/>
              <w:adjustRightInd/>
              <w:snapToGrid/>
              <w:spacing w:line="560" w:lineRule="exact"/>
              <w:ind w:left="-420"/>
              <w:jc w:val="center"/>
              <w:textAlignment w:val="auto"/>
              <w:rPr>
                <w:rFonts w:ascii="仿宋" w:hAnsi="仿宋" w:eastAsia="仿宋" w:cs="仿宋"/>
                <w:kern w:val="1"/>
                <w:sz w:val="28"/>
                <w:szCs w:val="28"/>
              </w:rPr>
            </w:pPr>
            <w:r>
              <w:rPr>
                <w:rFonts w:hint="eastAsia" w:ascii="仿宋" w:hAnsi="仿宋" w:eastAsia="仿宋" w:cs="仿宋"/>
                <w:kern w:val="1"/>
                <w:sz w:val="28"/>
                <w:szCs w:val="28"/>
              </w:rPr>
              <w:t xml:space="preserve">  </w:t>
            </w:r>
            <w:r>
              <w:rPr>
                <w:rFonts w:ascii="仿宋" w:hAnsi="仿宋" w:eastAsia="仿宋" w:cs="仿宋"/>
                <w:kern w:val="1"/>
                <w:sz w:val="28"/>
                <w:szCs w:val="28"/>
              </w:rPr>
              <w:t>死亡</w:t>
            </w:r>
          </w:p>
        </w:tc>
      </w:tr>
    </w:tbl>
    <w:p w14:paraId="213A4D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1"/>
          <w:sz w:val="32"/>
          <w:szCs w:val="32"/>
        </w:rPr>
        <w:t>本次事故损失工作日：6</w:t>
      </w:r>
      <w:r>
        <w:rPr>
          <w:rFonts w:hint="eastAsia" w:ascii="仿宋_GB2312" w:hAnsi="仿宋_GB2312" w:eastAsia="仿宋_GB2312" w:cs="仿宋_GB2312"/>
          <w:kern w:val="1"/>
          <w:sz w:val="32"/>
          <w:szCs w:val="32"/>
          <w:lang w:val="en-US" w:eastAsia="zh-CN"/>
        </w:rPr>
        <w:t>0</w:t>
      </w:r>
      <w:r>
        <w:rPr>
          <w:rFonts w:hint="eastAsia" w:ascii="仿宋_GB2312" w:hAnsi="仿宋_GB2312" w:eastAsia="仿宋_GB2312" w:cs="仿宋_GB2312"/>
          <w:kern w:val="1"/>
          <w:sz w:val="32"/>
          <w:szCs w:val="32"/>
        </w:rPr>
        <w:t>00天，直接经济损失约</w:t>
      </w:r>
      <w:r>
        <w:rPr>
          <w:rFonts w:hint="eastAsia" w:ascii="仿宋_GB2312" w:hAnsi="仿宋_GB2312" w:eastAsia="仿宋_GB2312" w:cs="仿宋_GB2312"/>
          <w:kern w:val="1"/>
          <w:sz w:val="32"/>
          <w:szCs w:val="32"/>
          <w:highlight w:val="none"/>
        </w:rPr>
        <w:t>1</w:t>
      </w:r>
      <w:r>
        <w:rPr>
          <w:rFonts w:hint="eastAsia" w:ascii="仿宋_GB2312" w:hAnsi="仿宋_GB2312" w:eastAsia="仿宋_GB2312" w:cs="仿宋_GB2312"/>
          <w:kern w:val="1"/>
          <w:sz w:val="32"/>
          <w:szCs w:val="32"/>
          <w:highlight w:val="none"/>
          <w:lang w:val="en-US" w:eastAsia="zh-CN"/>
        </w:rPr>
        <w:t>50</w:t>
      </w:r>
      <w:r>
        <w:rPr>
          <w:rFonts w:hint="eastAsia" w:ascii="仿宋_GB2312" w:hAnsi="仿宋_GB2312" w:eastAsia="仿宋_GB2312" w:cs="仿宋_GB2312"/>
          <w:kern w:val="1"/>
          <w:sz w:val="32"/>
          <w:szCs w:val="32"/>
          <w:highlight w:val="none"/>
        </w:rPr>
        <w:t>万</w:t>
      </w:r>
      <w:r>
        <w:rPr>
          <w:rFonts w:hint="eastAsia" w:ascii="仿宋_GB2312" w:hAnsi="仿宋_GB2312" w:eastAsia="仿宋_GB2312" w:cs="仿宋_GB2312"/>
          <w:kern w:val="1"/>
          <w:sz w:val="32"/>
          <w:szCs w:val="32"/>
        </w:rPr>
        <w:t>元。</w:t>
      </w:r>
    </w:p>
    <w:p w14:paraId="46D45391">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黑体" w:hAnsi="黑体" w:eastAsia="黑体" w:cs="黑体"/>
          <w:bCs/>
          <w:kern w:val="1"/>
          <w:sz w:val="32"/>
          <w:szCs w:val="32"/>
        </w:rPr>
      </w:pPr>
      <w:r>
        <w:rPr>
          <w:rFonts w:hint="eastAsia" w:ascii="黑体" w:hAnsi="黑体" w:eastAsia="黑体" w:cs="黑体"/>
          <w:bCs/>
          <w:kern w:val="1"/>
          <w:sz w:val="32"/>
          <w:szCs w:val="32"/>
          <w:lang w:eastAsia="zh-CN"/>
        </w:rPr>
        <w:t>四</w:t>
      </w:r>
      <w:r>
        <w:rPr>
          <w:rFonts w:ascii="黑体" w:hAnsi="黑体" w:eastAsia="黑体" w:cs="黑体"/>
          <w:bCs/>
          <w:kern w:val="1"/>
          <w:sz w:val="32"/>
          <w:szCs w:val="32"/>
        </w:rPr>
        <w:t>、事故发生原因和事故性质</w:t>
      </w:r>
    </w:p>
    <w:p w14:paraId="512870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kern w:val="1"/>
          <w:sz w:val="32"/>
          <w:szCs w:val="32"/>
        </w:rPr>
      </w:pPr>
      <w:r>
        <w:rPr>
          <w:rFonts w:hint="eastAsia" w:ascii="楷体_GB2312" w:hAnsi="楷体_GB2312" w:eastAsia="楷体_GB2312" w:cs="楷体_GB2312"/>
          <w:b/>
          <w:kern w:val="1"/>
          <w:sz w:val="32"/>
          <w:szCs w:val="32"/>
        </w:rPr>
        <w:t>（一）直接原因</w:t>
      </w:r>
    </w:p>
    <w:p w14:paraId="0C9C98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辽宁龙宇建设公司董伟安全意识淡薄，在结束当日工作后在进行收尾巡查并</w:t>
      </w:r>
      <w:r>
        <w:rPr>
          <w:rFonts w:hint="eastAsia" w:ascii="仿宋" w:hAnsi="仿宋" w:eastAsia="仿宋" w:cs="仿宋_GB2312"/>
          <w:color w:val="auto"/>
          <w:sz w:val="32"/>
          <w:szCs w:val="32"/>
          <w:highlight w:val="none"/>
          <w:lang w:eastAsia="zh-CN"/>
        </w:rPr>
        <w:t>撤离时违反高处作业规定，手持水平仪、未系安全绳在高处行走，在绕天车立柱行走时跌倒并坠落（高度</w:t>
      </w:r>
      <w:r>
        <w:rPr>
          <w:rFonts w:hint="eastAsia" w:ascii="仿宋" w:hAnsi="仿宋" w:eastAsia="仿宋" w:cs="仿宋_GB2312"/>
          <w:color w:val="auto"/>
          <w:sz w:val="32"/>
          <w:szCs w:val="32"/>
          <w:highlight w:val="none"/>
          <w:lang w:val="en-US" w:eastAsia="zh-CN"/>
        </w:rPr>
        <w:t>7米</w:t>
      </w:r>
      <w:r>
        <w:rPr>
          <w:rFonts w:hint="eastAsia" w:ascii="仿宋" w:hAnsi="仿宋" w:eastAsia="仿宋"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，造成其受伤死亡。</w:t>
      </w:r>
    </w:p>
    <w:p w14:paraId="43C8A1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kern w:val="1"/>
          <w:sz w:val="32"/>
          <w:szCs w:val="32"/>
        </w:rPr>
        <w:t>（二）间接原因</w:t>
      </w:r>
    </w:p>
    <w:p w14:paraId="60B876B1">
      <w:pPr>
        <w:ind w:firstLine="640" w:firstLineChars="200"/>
        <w:rPr>
          <w:rFonts w:hint="eastAsia" w:ascii="仿宋_GB2312" w:hAnsi="仿宋_GB2312" w:eastAsia="仿宋_GB2312" w:cs="仿宋_GB2312"/>
          <w:color w:val="FF0000"/>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_GB2312" w:hAnsi="仿宋_GB2312" w:eastAsia="仿宋_GB2312" w:cs="仿宋_GB2312"/>
          <w:sz w:val="32"/>
          <w:szCs w:val="32"/>
          <w:lang w:val="en-US" w:eastAsia="zh-CN"/>
        </w:rPr>
        <w:t>工程项目实际负责人</w:t>
      </w:r>
      <w:r>
        <w:rPr>
          <w:rFonts w:hint="eastAsia" w:ascii="仿宋_GB2312" w:hAnsi="仿宋_GB2312" w:eastAsia="仿宋_GB2312" w:cs="仿宋_GB2312"/>
          <w:b w:val="0"/>
          <w:bCs w:val="0"/>
          <w:sz w:val="32"/>
          <w:szCs w:val="32"/>
          <w:lang w:val="en-US" w:eastAsia="zh-CN"/>
        </w:rPr>
        <w:t>于凤凯</w:t>
      </w: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lang w:val="en-US" w:eastAsia="zh-CN"/>
        </w:rPr>
        <w:t>工程项目安全管理不到位，日常安全提示提醒不到位，施工作业人员</w:t>
      </w:r>
      <w:r>
        <w:rPr>
          <w:rFonts w:hint="eastAsia" w:ascii="仿宋_GB2312" w:hAnsi="仿宋_GB2312" w:eastAsia="仿宋_GB2312" w:cs="仿宋_GB2312"/>
          <w:sz w:val="32"/>
          <w:szCs w:val="32"/>
          <w:highlight w:val="none"/>
          <w:lang w:val="en-US" w:eastAsia="zh-CN"/>
        </w:rPr>
        <w:t>安全意识淡薄，在高处未系安全</w:t>
      </w:r>
      <w:r>
        <w:rPr>
          <w:rFonts w:hint="eastAsia" w:ascii="仿宋_GB2312" w:hAnsi="仿宋_GB2312" w:eastAsia="仿宋_GB2312" w:cs="仿宋_GB2312"/>
          <w:color w:val="auto"/>
          <w:sz w:val="32"/>
          <w:szCs w:val="32"/>
          <w:highlight w:val="none"/>
          <w:lang w:val="en-US" w:eastAsia="zh-CN"/>
        </w:rPr>
        <w:t>绳</w:t>
      </w:r>
      <w:r>
        <w:rPr>
          <w:rFonts w:hint="eastAsia" w:ascii="仿宋_GB2312" w:hAnsi="仿宋_GB2312" w:eastAsia="仿宋_GB2312" w:cs="仿宋_GB2312"/>
          <w:color w:val="auto"/>
          <w:sz w:val="32"/>
          <w:szCs w:val="32"/>
          <w:highlight w:val="none"/>
          <w:lang w:eastAsia="zh-CN"/>
        </w:rPr>
        <w:t>。</w:t>
      </w:r>
    </w:p>
    <w:p w14:paraId="1671B720">
      <w:pPr>
        <w:numPr>
          <w:ilvl w:val="0"/>
          <w:numId w:val="0"/>
        </w:numPr>
        <w:ind w:firstLine="640" w:firstLineChars="200"/>
        <w:rPr>
          <w:rFonts w:hint="eastAsia" w:ascii="仿宋" w:hAnsi="仿宋" w:eastAsia="仿宋" w:cs="仿宋"/>
          <w:bCs/>
          <w:sz w:val="32"/>
          <w:szCs w:val="32"/>
          <w:highlight w:val="none"/>
          <w:lang w:val="en-US" w:eastAsia="zh-CN"/>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 w:hAnsi="仿宋" w:eastAsia="仿宋" w:cs="仿宋"/>
          <w:bCs/>
          <w:sz w:val="32"/>
          <w:szCs w:val="32"/>
          <w:highlight w:val="none"/>
          <w:lang w:val="en-US" w:eastAsia="zh-CN"/>
        </w:rPr>
        <w:t>以“内包”形式交由于凤凯实际负责工程项目，于凤凯安全管理不到位且瞒报事故，</w:t>
      </w:r>
      <w:r>
        <w:rPr>
          <w:rFonts w:hint="eastAsia" w:ascii="仿宋_GB2312" w:hAnsi="仿宋_GB2312" w:eastAsia="仿宋_GB2312" w:cs="仿宋_GB2312"/>
          <w:b w:val="0"/>
          <w:bCs w:val="0"/>
          <w:color w:val="auto"/>
          <w:sz w:val="32"/>
          <w:szCs w:val="32"/>
          <w:lang w:val="en-US" w:eastAsia="zh-CN"/>
        </w:rPr>
        <w:t>项目经理未按照合同要求到施工作业现场履职，</w:t>
      </w:r>
      <w:r>
        <w:rPr>
          <w:rFonts w:hint="eastAsia" w:ascii="仿宋" w:hAnsi="仿宋" w:eastAsia="仿宋" w:cs="仿宋"/>
          <w:bCs/>
          <w:color w:val="auto"/>
          <w:kern w:val="2"/>
          <w:sz w:val="32"/>
          <w:szCs w:val="32"/>
          <w:highlight w:val="none"/>
          <w:lang w:val="en-US" w:eastAsia="zh-CN" w:bidi="ar-SA"/>
        </w:rPr>
        <w:t>未及时排查</w:t>
      </w:r>
      <w:r>
        <w:rPr>
          <w:rFonts w:hint="eastAsia" w:ascii="仿宋" w:hAnsi="仿宋" w:eastAsia="仿宋" w:cs="仿宋"/>
          <w:bCs/>
          <w:kern w:val="2"/>
          <w:sz w:val="32"/>
          <w:szCs w:val="32"/>
          <w:highlight w:val="none"/>
          <w:lang w:val="en-US" w:eastAsia="zh-CN" w:bidi="ar-SA"/>
        </w:rPr>
        <w:t>、消除生产安全事故隐患</w:t>
      </w:r>
      <w:r>
        <w:rPr>
          <w:rFonts w:hint="eastAsia" w:ascii="仿宋" w:hAnsi="仿宋" w:eastAsia="仿宋" w:cs="仿宋"/>
          <w:bCs/>
          <w:sz w:val="32"/>
          <w:szCs w:val="32"/>
          <w:highlight w:val="none"/>
          <w:lang w:val="en-US" w:eastAsia="zh-CN"/>
        </w:rPr>
        <w:t>。</w:t>
      </w:r>
    </w:p>
    <w:p w14:paraId="53E4262E">
      <w:pPr>
        <w:numPr>
          <w:ilvl w:val="0"/>
          <w:numId w:val="0"/>
        </w:numPr>
        <w:ind w:firstLine="640" w:firstLineChars="200"/>
        <w:rPr>
          <w:rFonts w:hint="default"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_GB2312" w:hAnsi="仿宋_GB2312" w:eastAsia="仿宋_GB2312" w:cs="仿宋_GB2312"/>
          <w:b w:val="0"/>
          <w:bCs w:val="0"/>
          <w:sz w:val="32"/>
          <w:szCs w:val="32"/>
          <w:lang w:val="en-US" w:eastAsia="zh-CN"/>
        </w:rPr>
        <w:t>落实安全生产主体责任不到位，未按照规定修订全员安全生</w:t>
      </w:r>
      <w:r>
        <w:rPr>
          <w:rFonts w:hint="eastAsia" w:ascii="仿宋_GB2312" w:hAnsi="仿宋_GB2312" w:eastAsia="仿宋_GB2312" w:cs="仿宋_GB2312"/>
          <w:b w:val="0"/>
          <w:bCs w:val="0"/>
          <w:color w:val="auto"/>
          <w:sz w:val="32"/>
          <w:szCs w:val="32"/>
          <w:highlight w:val="none"/>
          <w:lang w:val="en-US" w:eastAsia="zh-CN"/>
        </w:rPr>
        <w:t>产责任制</w:t>
      </w:r>
      <w:r>
        <w:rPr>
          <w:rFonts w:hint="eastAsia" w:ascii="仿宋" w:hAnsi="仿宋" w:eastAsia="仿宋" w:cs="仿宋"/>
          <w:bCs/>
          <w:color w:val="auto"/>
          <w:sz w:val="32"/>
          <w:szCs w:val="32"/>
          <w:highlight w:val="none"/>
          <w:lang w:eastAsia="zh-CN"/>
        </w:rPr>
        <w:t>和应急预案</w:t>
      </w:r>
      <w:r>
        <w:rPr>
          <w:rFonts w:hint="eastAsia" w:ascii="仿宋_GB2312" w:hAnsi="仿宋_GB2312" w:eastAsia="仿宋_GB2312" w:cs="仿宋_GB2312"/>
          <w:b w:val="0"/>
          <w:bCs w:val="0"/>
          <w:color w:val="auto"/>
          <w:sz w:val="32"/>
          <w:szCs w:val="32"/>
          <w:highlight w:val="none"/>
          <w:lang w:val="en-US" w:eastAsia="zh-CN"/>
        </w:rPr>
        <w:t>，未督促员工依法依规</w:t>
      </w:r>
      <w:r>
        <w:rPr>
          <w:rFonts w:hint="eastAsia" w:ascii="仿宋" w:hAnsi="仿宋" w:eastAsia="仿宋" w:cs="仿宋"/>
          <w:bCs/>
          <w:color w:val="auto"/>
          <w:sz w:val="32"/>
          <w:szCs w:val="32"/>
          <w:highlight w:val="none"/>
          <w:lang w:eastAsia="zh-CN"/>
        </w:rPr>
        <w:t>报</w:t>
      </w:r>
      <w:r>
        <w:rPr>
          <w:rFonts w:hint="eastAsia" w:ascii="仿宋_GB2312" w:hAnsi="仿宋_GB2312" w:eastAsia="仿宋_GB2312" w:cs="仿宋_GB2312"/>
          <w:b w:val="0"/>
          <w:bCs w:val="0"/>
          <w:color w:val="auto"/>
          <w:sz w:val="32"/>
          <w:szCs w:val="32"/>
          <w:highlight w:val="none"/>
          <w:lang w:val="en-US" w:eastAsia="zh-CN"/>
        </w:rPr>
        <w:t>告</w:t>
      </w:r>
      <w:r>
        <w:rPr>
          <w:rFonts w:hint="eastAsia" w:ascii="仿宋" w:hAnsi="仿宋" w:eastAsia="仿宋" w:cs="仿宋"/>
          <w:bCs/>
          <w:color w:val="auto"/>
          <w:sz w:val="32"/>
          <w:szCs w:val="32"/>
          <w:highlight w:val="none"/>
          <w:lang w:eastAsia="zh-CN"/>
        </w:rPr>
        <w:t>事故</w:t>
      </w:r>
      <w:r>
        <w:rPr>
          <w:rFonts w:hint="eastAsia" w:ascii="仿宋_GB2312" w:hAnsi="仿宋_GB2312" w:eastAsia="仿宋_GB2312" w:cs="仿宋_GB2312"/>
          <w:b w:val="0"/>
          <w:bCs w:val="0"/>
          <w:color w:val="auto"/>
          <w:sz w:val="32"/>
          <w:szCs w:val="32"/>
          <w:highlight w:val="none"/>
          <w:lang w:val="en-US" w:eastAsia="zh-CN"/>
        </w:rPr>
        <w:t>，实际控制人未有效履行安全管理职责</w:t>
      </w:r>
      <w:r>
        <w:rPr>
          <w:rFonts w:hint="eastAsia" w:ascii="仿宋_GB2312" w:hAnsi="仿宋_GB2312" w:eastAsia="仿宋_GB2312" w:cs="仿宋_GB2312"/>
          <w:b w:val="0"/>
          <w:bCs w:val="0"/>
          <w:sz w:val="32"/>
          <w:szCs w:val="32"/>
          <w:lang w:val="en-US" w:eastAsia="zh-CN"/>
        </w:rPr>
        <w:t>。</w:t>
      </w:r>
    </w:p>
    <w:p w14:paraId="7587EE1E">
      <w:pPr>
        <w:numPr>
          <w:ilvl w:val="0"/>
          <w:numId w:val="0"/>
        </w:numPr>
        <w:ind w:firstLine="640" w:firstLineChars="200"/>
        <w:rPr>
          <w:rFonts w:hint="eastAsia" w:ascii="仿宋" w:hAnsi="仿宋" w:eastAsia="仿宋" w:cs="仿宋"/>
          <w:bCs/>
          <w:color w:val="auto"/>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w:t>
      </w:r>
      <w:r>
        <w:rPr>
          <w:rFonts w:hint="eastAsia" w:ascii="仿宋_GB2312" w:hAnsi="仿宋_GB2312" w:eastAsia="仿宋_GB2312" w:cs="仿宋_GB2312"/>
          <w:b w:val="0"/>
          <w:bCs w:val="0"/>
          <w:sz w:val="32"/>
          <w:szCs w:val="32"/>
          <w:lang w:val="en-US" w:eastAsia="zh-CN"/>
        </w:rPr>
        <w:t>抚顺特钢公司</w:t>
      </w:r>
      <w:r>
        <w:rPr>
          <w:rFonts w:hint="eastAsia" w:ascii="仿宋_GB2312" w:hAnsi="仿宋_GB2312" w:eastAsia="仿宋_GB2312" w:cs="仿宋_GB2312"/>
          <w:b w:val="0"/>
          <w:bCs w:val="0"/>
          <w:sz w:val="32"/>
          <w:szCs w:val="32"/>
          <w:highlight w:val="none"/>
          <w:lang w:val="en-US" w:eastAsia="zh-CN"/>
        </w:rPr>
        <w:t>对</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 w:hAnsi="仿宋" w:eastAsia="仿宋" w:cs="仿宋"/>
          <w:bCs/>
          <w:color w:val="auto"/>
          <w:sz w:val="32"/>
          <w:szCs w:val="32"/>
          <w:highlight w:val="none"/>
          <w:lang w:val="en-US" w:eastAsia="zh-CN"/>
        </w:rPr>
        <w:t>安全生产统一协调管理不到位，对</w:t>
      </w:r>
      <w:r>
        <w:rPr>
          <w:rFonts w:hint="eastAsia" w:ascii="仿宋_GB2312" w:hAnsi="仿宋_GB2312" w:eastAsia="仿宋_GB2312" w:cs="仿宋_GB2312"/>
          <w:color w:val="auto"/>
          <w:sz w:val="32"/>
          <w:szCs w:val="32"/>
          <w:highlight w:val="none"/>
          <w:lang w:val="en-US" w:eastAsia="zh-CN"/>
        </w:rPr>
        <w:t>项目经理</w:t>
      </w:r>
      <w:r>
        <w:rPr>
          <w:rFonts w:hint="eastAsia" w:ascii="仿宋_GB2312" w:hAnsi="仿宋_GB2312" w:eastAsia="仿宋_GB2312" w:cs="仿宋_GB2312"/>
          <w:b w:val="0"/>
          <w:bCs w:val="0"/>
          <w:color w:val="auto"/>
          <w:sz w:val="32"/>
          <w:szCs w:val="32"/>
          <w:highlight w:val="none"/>
          <w:lang w:val="en-US" w:eastAsia="zh-CN"/>
        </w:rPr>
        <w:t>未在现场履职、高处作业管理不到位失管失察</w:t>
      </w:r>
      <w:r>
        <w:rPr>
          <w:rFonts w:hint="eastAsia" w:ascii="仿宋" w:hAnsi="仿宋" w:eastAsia="仿宋" w:cs="仿宋"/>
          <w:bCs/>
          <w:color w:val="auto"/>
          <w:sz w:val="32"/>
          <w:szCs w:val="32"/>
          <w:highlight w:val="none"/>
          <w:lang w:val="en-US" w:eastAsia="zh-CN"/>
        </w:rPr>
        <w:t>。</w:t>
      </w:r>
    </w:p>
    <w:p w14:paraId="72C097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kern w:val="1"/>
          <w:sz w:val="32"/>
          <w:szCs w:val="32"/>
          <w:lang w:val="en-US" w:eastAsia="zh-CN"/>
        </w:rPr>
      </w:pPr>
      <w:r>
        <w:rPr>
          <w:rFonts w:hint="eastAsia" w:ascii="楷体_GB2312" w:hAnsi="楷体_GB2312" w:eastAsia="楷体_GB2312" w:cs="楷体_GB2312"/>
          <w:b/>
          <w:kern w:val="1"/>
          <w:sz w:val="32"/>
          <w:szCs w:val="32"/>
          <w:lang w:val="en-US" w:eastAsia="zh-CN"/>
        </w:rPr>
        <w:t>（三）事故性质</w:t>
      </w:r>
    </w:p>
    <w:p w14:paraId="7F694A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经调查认定，</w:t>
      </w:r>
      <w:r>
        <w:rPr>
          <w:rFonts w:hint="eastAsia" w:ascii="仿宋_GB2312" w:hAnsi="仿宋_GB2312" w:eastAsia="仿宋_GB2312" w:cs="仿宋_GB2312"/>
          <w:kern w:val="1"/>
          <w:sz w:val="32"/>
          <w:szCs w:val="32"/>
          <w:lang w:val="en-US" w:eastAsia="zh-CN"/>
        </w:rPr>
        <w:t>抚顺望花龙宇公司轧钢厂天车轨道维修项目“4·8”一般高处坠落事故</w:t>
      </w:r>
      <w:r>
        <w:rPr>
          <w:rFonts w:hint="eastAsia" w:ascii="仿宋_GB2312" w:hAnsi="仿宋_GB2312" w:eastAsia="仿宋_GB2312" w:cs="仿宋_GB2312"/>
          <w:sz w:val="32"/>
          <w:szCs w:val="32"/>
          <w:highlight w:val="none"/>
          <w:lang w:val="en-US" w:eastAsia="zh-CN"/>
        </w:rPr>
        <w:t>是一起生产安全责任事故。</w:t>
      </w:r>
    </w:p>
    <w:p w14:paraId="2F1DEB57">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Style w:val="17"/>
          <w:rFonts w:ascii="黑体" w:hAnsi="黑体" w:eastAsia="黑体" w:cs="黑体"/>
          <w:bCs/>
          <w:kern w:val="1"/>
          <w:sz w:val="32"/>
          <w:szCs w:val="32"/>
        </w:rPr>
      </w:pPr>
      <w:r>
        <w:rPr>
          <w:rFonts w:hint="eastAsia" w:ascii="黑体" w:hAnsi="黑体" w:eastAsia="黑体" w:cs="黑体"/>
          <w:b/>
          <w:bCs w:val="0"/>
          <w:sz w:val="32"/>
          <w:szCs w:val="32"/>
          <w:lang w:val="en-US" w:eastAsia="zh-CN"/>
        </w:rPr>
        <w:t>五、对事故责任人员、责任单位及有关单位的处理建议</w:t>
      </w:r>
    </w:p>
    <w:p w14:paraId="6F51FF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kern w:val="1"/>
          <w:sz w:val="32"/>
          <w:szCs w:val="32"/>
          <w:lang w:val="en-US" w:eastAsia="zh-CN"/>
        </w:rPr>
      </w:pPr>
      <w:r>
        <w:rPr>
          <w:rFonts w:hint="eastAsia" w:ascii="楷体_GB2312" w:hAnsi="楷体_GB2312" w:eastAsia="楷体_GB2312" w:cs="楷体_GB2312"/>
          <w:b/>
          <w:kern w:val="1"/>
          <w:sz w:val="32"/>
          <w:szCs w:val="32"/>
          <w:lang w:val="en-US" w:eastAsia="zh-CN"/>
        </w:rPr>
        <w:t>（一）对事故责任人员的处理建议</w:t>
      </w:r>
    </w:p>
    <w:p w14:paraId="6A431D72">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120" w:beforeAutospacing="0" w:after="0" w:afterAutospacing="0" w:line="560" w:lineRule="exact"/>
        <w:ind w:left="0" w:right="17" w:firstLine="567"/>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1.董伟，辽宁龙宇建设公司高处作业工</w:t>
      </w:r>
      <w:r>
        <w:rPr>
          <w:rFonts w:hint="default"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color w:val="auto"/>
          <w:sz w:val="32"/>
          <w:szCs w:val="32"/>
          <w:highlight w:val="none"/>
          <w:lang w:val="en-US" w:eastAsia="zh-CN"/>
        </w:rPr>
        <w:t>安全意识淡薄，在结束当日工作后在天车轨道进行收尾巡查并</w:t>
      </w:r>
      <w:r>
        <w:rPr>
          <w:rFonts w:hint="eastAsia" w:ascii="仿宋" w:hAnsi="仿宋" w:eastAsia="仿宋" w:cs="仿宋_GB2312"/>
          <w:color w:val="auto"/>
          <w:sz w:val="32"/>
          <w:szCs w:val="32"/>
          <w:highlight w:val="none"/>
          <w:lang w:eastAsia="zh-CN"/>
        </w:rPr>
        <w:t>撤离时违反高处作业规定，未系安全绳、手持水平仪，</w:t>
      </w:r>
      <w:r>
        <w:rPr>
          <w:rFonts w:hint="eastAsia" w:ascii="仿宋_GB2312" w:hAnsi="仿宋_GB2312" w:eastAsia="仿宋_GB2312" w:cs="仿宋_GB2312"/>
          <w:b w:val="0"/>
          <w:bCs w:val="0"/>
          <w:kern w:val="2"/>
          <w:sz w:val="32"/>
          <w:szCs w:val="32"/>
          <w:lang w:val="en-US" w:eastAsia="zh-CN" w:bidi="ar-SA"/>
        </w:rPr>
        <w:t>对事故发生负有责任，鉴于其在事故中死亡，建议免于追究其责任。</w:t>
      </w:r>
    </w:p>
    <w:p w14:paraId="6DB9C95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2.田作锋，</w:t>
      </w:r>
      <w:r>
        <w:rPr>
          <w:rFonts w:hint="eastAsia" w:ascii="仿宋_GB2312" w:hAnsi="仿宋_GB2312" w:eastAsia="仿宋_GB2312" w:cs="仿宋_GB2312"/>
          <w:b w:val="0"/>
          <w:bCs w:val="0"/>
          <w:color w:val="auto"/>
          <w:kern w:val="2"/>
          <w:sz w:val="32"/>
          <w:szCs w:val="32"/>
          <w:lang w:val="en-US" w:eastAsia="zh-CN" w:bidi="ar-SA"/>
        </w:rPr>
        <w:t>辽宁龙宇建设公司班长</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color w:val="auto"/>
          <w:sz w:val="32"/>
          <w:szCs w:val="32"/>
          <w:highlight w:val="none"/>
          <w:lang w:val="en-US" w:eastAsia="zh-CN"/>
        </w:rPr>
        <w:t>安全意识淡薄，作为班长对董伟未有效监督监护，</w:t>
      </w:r>
      <w:r>
        <w:rPr>
          <w:rFonts w:hint="eastAsia" w:ascii="仿宋" w:hAnsi="仿宋" w:eastAsia="仿宋" w:cs="仿宋"/>
          <w:color w:val="auto"/>
          <w:kern w:val="1"/>
          <w:sz w:val="32"/>
          <w:szCs w:val="32"/>
          <w:lang w:val="en-US" w:eastAsia="zh-CN"/>
        </w:rPr>
        <w:t>违反了《中华人民共和国安全生产法》第五十七条</w:t>
      </w:r>
      <w:r>
        <w:rPr>
          <w:rStyle w:val="17"/>
          <w:rFonts w:hint="eastAsia" w:ascii="仿宋" w:hAnsi="仿宋" w:eastAsia="仿宋" w:cs="仿宋"/>
          <w:color w:val="auto"/>
          <w:kern w:val="1"/>
          <w:sz w:val="32"/>
          <w:szCs w:val="32"/>
          <w:lang w:val="en-US" w:eastAsia="zh-CN"/>
        </w:rPr>
        <w:t>[</w:t>
      </w:r>
      <w:r>
        <w:rPr>
          <w:rStyle w:val="17"/>
          <w:rFonts w:hint="eastAsia" w:ascii="仿宋" w:hAnsi="仿宋" w:eastAsia="仿宋" w:cs="仿宋"/>
          <w:color w:val="auto"/>
          <w:kern w:val="1"/>
          <w:sz w:val="32"/>
          <w:szCs w:val="32"/>
          <w:lang w:val="en-US" w:eastAsia="zh-CN"/>
        </w:rPr>
        <w:footnoteReference w:id="1"/>
      </w:r>
      <w:r>
        <w:rPr>
          <w:rStyle w:val="17"/>
          <w:rFonts w:hint="eastAsia" w:ascii="仿宋" w:hAnsi="仿宋" w:eastAsia="仿宋" w:cs="仿宋"/>
          <w:color w:val="auto"/>
          <w:kern w:val="1"/>
          <w:sz w:val="32"/>
          <w:szCs w:val="32"/>
          <w:lang w:val="en-US" w:eastAsia="zh-CN"/>
        </w:rPr>
        <w:t>]</w:t>
      </w:r>
      <w:r>
        <w:rPr>
          <w:rFonts w:hint="eastAsia" w:ascii="仿宋" w:hAnsi="仿宋" w:eastAsia="仿宋" w:cs="仿宋"/>
          <w:color w:val="auto"/>
          <w:kern w:val="1"/>
          <w:sz w:val="32"/>
          <w:szCs w:val="32"/>
          <w:lang w:val="en-US" w:eastAsia="zh-CN"/>
        </w:rPr>
        <w:t>，</w:t>
      </w:r>
      <w:r>
        <w:rPr>
          <w:rFonts w:hint="eastAsia" w:ascii="仿宋" w:hAnsi="仿宋" w:eastAsia="仿宋" w:cs="仿宋"/>
          <w:color w:val="auto"/>
          <w:sz w:val="32"/>
          <w:szCs w:val="32"/>
          <w:lang w:val="en-US" w:eastAsia="zh-CN"/>
        </w:rPr>
        <w:t>依据《中华人民共和国安全生产法》第一百零七条</w:t>
      </w:r>
      <w:r>
        <w:rPr>
          <w:rStyle w:val="17"/>
          <w:rFonts w:hint="eastAsia" w:ascii="仿宋" w:hAnsi="仿宋" w:eastAsia="仿宋" w:cs="仿宋"/>
          <w:color w:val="auto"/>
          <w:sz w:val="32"/>
          <w:szCs w:val="32"/>
          <w:lang w:val="en-US" w:eastAsia="zh-CN"/>
        </w:rPr>
        <w:t>[</w:t>
      </w:r>
      <w:r>
        <w:rPr>
          <w:rStyle w:val="17"/>
          <w:rFonts w:hint="eastAsia" w:ascii="仿宋" w:hAnsi="仿宋" w:eastAsia="仿宋" w:cs="仿宋"/>
          <w:color w:val="auto"/>
          <w:sz w:val="32"/>
          <w:szCs w:val="32"/>
          <w:lang w:val="en-US" w:eastAsia="zh-CN"/>
        </w:rPr>
        <w:footnoteReference w:id="2"/>
      </w:r>
      <w:r>
        <w:rPr>
          <w:rStyle w:val="17"/>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，建议由</w:t>
      </w:r>
      <w:r>
        <w:rPr>
          <w:rFonts w:hint="eastAsia" w:ascii="仿宋" w:hAnsi="仿宋" w:eastAsia="仿宋" w:cs="仿宋"/>
          <w:bCs/>
          <w:color w:val="auto"/>
          <w:kern w:val="2"/>
          <w:sz w:val="32"/>
          <w:szCs w:val="32"/>
          <w:highlight w:val="none"/>
          <w:lang w:val="en-US" w:eastAsia="zh-CN" w:bidi="ar-SA"/>
        </w:rPr>
        <w:t>辽宁龙宇建设公司</w:t>
      </w:r>
      <w:r>
        <w:rPr>
          <w:rFonts w:hint="eastAsia" w:ascii="仿宋" w:hAnsi="仿宋" w:eastAsia="仿宋" w:cs="仿宋"/>
          <w:color w:val="auto"/>
          <w:sz w:val="32"/>
          <w:szCs w:val="32"/>
          <w:lang w:val="en-US" w:eastAsia="zh-CN"/>
        </w:rPr>
        <w:t>给予批评教育，依照有关规章制度给予处分。</w:t>
      </w:r>
    </w:p>
    <w:p w14:paraId="4467510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3.谢宝东，辽宁龙宇建设公司安全员</w:t>
      </w:r>
      <w:r>
        <w:rPr>
          <w:rFonts w:hint="default"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color w:val="auto"/>
          <w:kern w:val="2"/>
          <w:sz w:val="32"/>
          <w:szCs w:val="32"/>
          <w:lang w:val="en-US" w:eastAsia="zh-CN" w:bidi="ar-SA"/>
        </w:rPr>
        <w:t>安全</w:t>
      </w:r>
      <w:r>
        <w:rPr>
          <w:rFonts w:hint="eastAsia" w:ascii="仿宋_GB2312" w:hAnsi="仿宋_GB2312" w:eastAsia="仿宋_GB2312" w:cs="仿宋_GB2312"/>
          <w:b w:val="0"/>
          <w:bCs w:val="0"/>
          <w:color w:val="auto"/>
          <w:kern w:val="2"/>
          <w:sz w:val="32"/>
          <w:szCs w:val="32"/>
          <w:lang w:val="en-US" w:eastAsia="zh-CN" w:bidi="ar-SA"/>
        </w:rPr>
        <w:t>提示</w:t>
      </w:r>
      <w:r>
        <w:rPr>
          <w:rFonts w:hint="default" w:ascii="仿宋_GB2312" w:hAnsi="仿宋_GB2312" w:eastAsia="仿宋_GB2312" w:cs="仿宋_GB2312"/>
          <w:b w:val="0"/>
          <w:bCs w:val="0"/>
          <w:color w:val="auto"/>
          <w:kern w:val="2"/>
          <w:sz w:val="32"/>
          <w:szCs w:val="32"/>
          <w:lang w:val="en-US" w:eastAsia="zh-CN" w:bidi="ar-SA"/>
        </w:rPr>
        <w:t>提醒</w:t>
      </w:r>
      <w:r>
        <w:rPr>
          <w:rFonts w:hint="eastAsia" w:ascii="仿宋_GB2312" w:hAnsi="仿宋_GB2312" w:eastAsia="仿宋_GB2312" w:cs="仿宋_GB2312"/>
          <w:b w:val="0"/>
          <w:bCs w:val="0"/>
          <w:color w:val="auto"/>
          <w:kern w:val="2"/>
          <w:sz w:val="32"/>
          <w:szCs w:val="32"/>
          <w:lang w:val="en-US" w:eastAsia="zh-CN" w:bidi="ar-SA"/>
        </w:rPr>
        <w:t>和安全监督</w:t>
      </w:r>
      <w:r>
        <w:rPr>
          <w:rFonts w:hint="default" w:ascii="仿宋_GB2312" w:hAnsi="仿宋_GB2312" w:eastAsia="仿宋_GB2312" w:cs="仿宋_GB2312"/>
          <w:b w:val="0"/>
          <w:bCs w:val="0"/>
          <w:color w:val="auto"/>
          <w:kern w:val="2"/>
          <w:sz w:val="32"/>
          <w:szCs w:val="32"/>
          <w:lang w:val="en-US" w:eastAsia="zh-CN" w:bidi="ar-SA"/>
        </w:rPr>
        <w:t>不到位，未</w:t>
      </w:r>
      <w:r>
        <w:rPr>
          <w:rFonts w:hint="default" w:ascii="仿宋_GB2312" w:hAnsi="仿宋_GB2312" w:eastAsia="仿宋_GB2312" w:cs="仿宋_GB2312"/>
          <w:b w:val="0"/>
          <w:bCs w:val="0"/>
          <w:kern w:val="2"/>
          <w:sz w:val="32"/>
          <w:szCs w:val="32"/>
          <w:lang w:val="en-US" w:eastAsia="zh-CN" w:bidi="ar-SA"/>
        </w:rPr>
        <w:t>及时消除生产安全事故隐患，违反了《中华人民共和国安全生产法》第二十五条第一款第（五）项</w:t>
      </w:r>
      <w:r>
        <w:rPr>
          <w:rStyle w:val="17"/>
          <w:rFonts w:hint="default" w:ascii="仿宋_GB2312" w:hAnsi="仿宋_GB2312" w:eastAsia="仿宋_GB2312" w:cs="仿宋_GB2312"/>
          <w:b w:val="0"/>
          <w:bCs w:val="0"/>
          <w:kern w:val="2"/>
          <w:sz w:val="32"/>
          <w:szCs w:val="32"/>
          <w:lang w:val="en-US" w:eastAsia="zh-CN" w:bidi="ar-SA"/>
        </w:rPr>
        <w:t>[</w:t>
      </w:r>
      <w:r>
        <w:rPr>
          <w:rStyle w:val="17"/>
          <w:rFonts w:hint="default" w:ascii="仿宋_GB2312" w:hAnsi="仿宋_GB2312" w:eastAsia="仿宋_GB2312" w:cs="仿宋_GB2312"/>
          <w:b w:val="0"/>
          <w:bCs w:val="0"/>
          <w:kern w:val="2"/>
          <w:sz w:val="32"/>
          <w:szCs w:val="32"/>
          <w:lang w:val="en-US" w:eastAsia="zh-CN" w:bidi="ar-SA"/>
        </w:rPr>
        <w:footnoteReference w:id="3"/>
      </w:r>
      <w:r>
        <w:rPr>
          <w:rStyle w:val="17"/>
          <w:rFonts w:hint="default"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，对事故发生负有责任，依据《中华人民共和国安全生产法》第九十六条</w:t>
      </w:r>
      <w:r>
        <w:rPr>
          <w:rStyle w:val="17"/>
          <w:rFonts w:hint="default" w:ascii="仿宋_GB2312" w:hAnsi="仿宋_GB2312" w:eastAsia="仿宋_GB2312" w:cs="仿宋_GB2312"/>
          <w:b w:val="0"/>
          <w:bCs w:val="0"/>
          <w:kern w:val="2"/>
          <w:sz w:val="32"/>
          <w:szCs w:val="32"/>
          <w:lang w:val="en-US" w:eastAsia="zh-CN" w:bidi="ar-SA"/>
        </w:rPr>
        <w:t>[</w:t>
      </w:r>
      <w:r>
        <w:rPr>
          <w:rStyle w:val="17"/>
          <w:rFonts w:hint="default" w:ascii="仿宋_GB2312" w:hAnsi="仿宋_GB2312" w:eastAsia="仿宋_GB2312" w:cs="仿宋_GB2312"/>
          <w:b w:val="0"/>
          <w:bCs w:val="0"/>
          <w:kern w:val="2"/>
          <w:sz w:val="32"/>
          <w:szCs w:val="32"/>
          <w:lang w:val="en-US" w:eastAsia="zh-CN" w:bidi="ar-SA"/>
        </w:rPr>
        <w:footnoteReference w:id="4"/>
      </w:r>
      <w:r>
        <w:rPr>
          <w:rStyle w:val="17"/>
          <w:rFonts w:hint="default"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、《生产安全事故罚款处罚规定》第二十条第（一）项</w:t>
      </w:r>
      <w:r>
        <w:rPr>
          <w:rStyle w:val="17"/>
          <w:rFonts w:hint="default" w:ascii="仿宋_GB2312" w:hAnsi="仿宋_GB2312" w:eastAsia="仿宋_GB2312" w:cs="仿宋_GB2312"/>
          <w:b w:val="0"/>
          <w:bCs w:val="0"/>
          <w:kern w:val="2"/>
          <w:sz w:val="32"/>
          <w:szCs w:val="32"/>
          <w:lang w:val="en-US" w:eastAsia="zh-CN" w:bidi="ar-SA"/>
        </w:rPr>
        <w:t>[</w:t>
      </w:r>
      <w:r>
        <w:rPr>
          <w:rStyle w:val="17"/>
          <w:rFonts w:hint="default" w:ascii="仿宋_GB2312" w:hAnsi="仿宋_GB2312" w:eastAsia="仿宋_GB2312" w:cs="仿宋_GB2312"/>
          <w:b w:val="0"/>
          <w:bCs w:val="0"/>
          <w:kern w:val="2"/>
          <w:sz w:val="32"/>
          <w:szCs w:val="32"/>
          <w:lang w:val="en-US" w:eastAsia="zh-CN" w:bidi="ar-SA"/>
        </w:rPr>
        <w:footnoteReference w:id="5"/>
      </w:r>
      <w:r>
        <w:rPr>
          <w:rStyle w:val="17"/>
          <w:rFonts w:hint="default"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，建议由市住建局暂停其与安全生产有关的资格3个月，建议</w:t>
      </w:r>
      <w:r>
        <w:rPr>
          <w:rFonts w:hint="eastAsia" w:ascii="仿宋_GB2312" w:hAnsi="仿宋_GB2312" w:eastAsia="仿宋_GB2312" w:cs="仿宋_GB2312"/>
          <w:b w:val="0"/>
          <w:bCs w:val="0"/>
          <w:kern w:val="2"/>
          <w:sz w:val="32"/>
          <w:szCs w:val="32"/>
          <w:lang w:val="en-US" w:eastAsia="zh-CN" w:bidi="ar-SA"/>
        </w:rPr>
        <w:t>由</w:t>
      </w:r>
      <w:r>
        <w:rPr>
          <w:rFonts w:hint="default" w:ascii="仿宋_GB2312" w:hAnsi="仿宋_GB2312" w:eastAsia="仿宋_GB2312" w:cs="仿宋_GB2312"/>
          <w:b w:val="0"/>
          <w:bCs w:val="0"/>
          <w:kern w:val="2"/>
          <w:sz w:val="32"/>
          <w:szCs w:val="32"/>
          <w:lang w:val="en-US" w:eastAsia="zh-CN" w:bidi="ar-SA"/>
        </w:rPr>
        <w:t>市应急局对其处上一年年收入百分之二十的罚款的行政处罚</w:t>
      </w:r>
      <w:r>
        <w:rPr>
          <w:rFonts w:hint="eastAsia" w:ascii="仿宋" w:hAnsi="仿宋" w:eastAsia="仿宋" w:cs="仿宋"/>
          <w:color w:val="000000"/>
          <w:sz w:val="32"/>
          <w:szCs w:val="32"/>
          <w:lang w:val="en-US" w:eastAsia="zh-CN"/>
        </w:rPr>
        <w:t>。</w:t>
      </w:r>
    </w:p>
    <w:p w14:paraId="4DBC633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sz w:val="32"/>
          <w:szCs w:val="32"/>
          <w:highlight w:val="yellow"/>
          <w:lang w:val="en-US" w:eastAsia="zh-CN"/>
        </w:rPr>
      </w:pPr>
      <w:r>
        <w:rPr>
          <w:rFonts w:hint="eastAsia" w:ascii="仿宋_GB2312" w:hAnsi="仿宋_GB2312" w:eastAsia="仿宋_GB2312" w:cs="仿宋_GB2312"/>
          <w:b w:val="0"/>
          <w:bCs w:val="0"/>
          <w:kern w:val="2"/>
          <w:sz w:val="32"/>
          <w:szCs w:val="32"/>
          <w:lang w:val="en-US" w:eastAsia="zh-CN" w:bidi="ar-SA"/>
        </w:rPr>
        <w:t>4.</w:t>
      </w:r>
      <w:r>
        <w:rPr>
          <w:rFonts w:hint="eastAsia" w:ascii="仿宋_GB2312" w:hAnsi="仿宋_GB2312" w:eastAsia="仿宋_GB2312" w:cs="仿宋_GB2312"/>
          <w:b w:val="0"/>
          <w:bCs w:val="0"/>
          <w:kern w:val="2"/>
          <w:sz w:val="32"/>
          <w:szCs w:val="32"/>
          <w:highlight w:val="none"/>
          <w:lang w:val="en-US" w:eastAsia="zh-CN" w:bidi="ar-SA"/>
        </w:rPr>
        <w:t>于凤凯</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highlight w:val="none"/>
          <w:lang w:val="en-US" w:eastAsia="zh-CN" w:bidi="ar-SA"/>
        </w:rPr>
        <w:t>辽宁龙宇建设公司工程项目实际负责人兼安全员</w:t>
      </w:r>
      <w:r>
        <w:rPr>
          <w:rFonts w:hint="default"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lang w:val="en-US" w:eastAsia="zh-CN"/>
        </w:rPr>
        <w:t>工程项目安全管理不到位，日常安全提示提醒不到位，</w:t>
      </w:r>
      <w:r>
        <w:rPr>
          <w:rFonts w:hint="default" w:ascii="仿宋_GB2312" w:hAnsi="仿宋_GB2312" w:eastAsia="仿宋_GB2312" w:cs="仿宋_GB2312"/>
          <w:b w:val="0"/>
          <w:bCs w:val="0"/>
          <w:kern w:val="2"/>
          <w:sz w:val="32"/>
          <w:szCs w:val="32"/>
          <w:lang w:val="en-US" w:eastAsia="zh-CN" w:bidi="ar-SA"/>
        </w:rPr>
        <w:t>未及时消除生产安全事故隐患，</w:t>
      </w:r>
      <w:r>
        <w:rPr>
          <w:rFonts w:hint="eastAsia" w:ascii="仿宋_GB2312" w:hAnsi="仿宋_GB2312" w:eastAsia="仿宋_GB2312" w:cs="仿宋_GB2312"/>
          <w:b w:val="0"/>
          <w:bCs w:val="0"/>
          <w:kern w:val="2"/>
          <w:sz w:val="32"/>
          <w:szCs w:val="32"/>
          <w:lang w:val="en-US" w:eastAsia="zh-CN" w:bidi="ar-SA"/>
        </w:rPr>
        <w:t>并存在瞒报事故的主客观事实，</w:t>
      </w:r>
      <w:r>
        <w:rPr>
          <w:rFonts w:hint="eastAsia" w:ascii="仿宋" w:hAnsi="仿宋" w:eastAsia="仿宋" w:cs="仿宋"/>
          <w:color w:val="000000"/>
          <w:sz w:val="32"/>
          <w:szCs w:val="32"/>
          <w:highlight w:val="none"/>
          <w:lang w:val="en-US" w:eastAsia="zh-CN"/>
        </w:rPr>
        <w:t>对事故发生负有责任，</w:t>
      </w:r>
      <w:r>
        <w:rPr>
          <w:rFonts w:hint="eastAsia" w:ascii="仿宋_GB2312" w:hAnsi="仿宋_GB2312" w:eastAsia="仿宋_GB2312" w:cs="仿宋_GB2312"/>
          <w:color w:val="000000"/>
          <w:kern w:val="0"/>
          <w:sz w:val="31"/>
          <w:szCs w:val="31"/>
          <w:highlight w:val="none"/>
          <w:lang w:val="en-US" w:eastAsia="zh-CN" w:bidi="ar"/>
        </w:rPr>
        <w:t>于凤凯</w:t>
      </w:r>
      <w:r>
        <w:rPr>
          <w:rFonts w:hint="eastAsia" w:ascii="仿宋" w:hAnsi="仿宋" w:eastAsia="仿宋" w:cs="仿宋"/>
          <w:color w:val="000000"/>
          <w:sz w:val="32"/>
          <w:szCs w:val="32"/>
          <w:lang w:val="en-US" w:eastAsia="zh-CN"/>
        </w:rPr>
        <w:t>因涉嫌犯罪，建议公安机关立案调查，依法追究其刑事责任。如果公安机关立案后，不需要追究刑事责任，但依法应承担行政责任的，应及时将案件移送行政执法部门处理。（在</w:t>
      </w:r>
      <w:r>
        <w:rPr>
          <w:rFonts w:hint="eastAsia" w:ascii="仿宋" w:hAnsi="仿宋" w:eastAsia="仿宋" w:cs="仿宋"/>
          <w:color w:val="000000"/>
          <w:sz w:val="32"/>
          <w:szCs w:val="32"/>
          <w:highlight w:val="none"/>
          <w:lang w:val="en-US" w:eastAsia="zh-CN"/>
        </w:rPr>
        <w:t>公安机关在对于凤凯刑事责任立案调查期间，建议进一步调查确认辽宁龙宇建设公司其他人员是否存在瞒报行为，并向市安全生产委员会办公室书面反馈。</w:t>
      </w:r>
      <w:r>
        <w:rPr>
          <w:rFonts w:hint="eastAsia" w:ascii="仿宋" w:hAnsi="仿宋" w:eastAsia="仿宋" w:cs="仿宋"/>
          <w:color w:val="000000"/>
          <w:sz w:val="32"/>
          <w:szCs w:val="32"/>
          <w:lang w:val="en-US" w:eastAsia="zh-CN"/>
        </w:rPr>
        <w:t>）</w:t>
      </w:r>
    </w:p>
    <w:p w14:paraId="4C7FB82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sz w:val="32"/>
          <w:szCs w:val="32"/>
          <w:highlight w:val="none"/>
          <w:lang w:val="en-US" w:eastAsia="zh-CN"/>
        </w:rPr>
        <w:t>事故发生后，</w:t>
      </w:r>
      <w:r>
        <w:rPr>
          <w:rFonts w:hint="eastAsia" w:ascii="仿宋" w:hAnsi="仿宋" w:eastAsia="仿宋" w:cs="仿宋"/>
          <w:color w:val="auto"/>
          <w:sz w:val="32"/>
          <w:szCs w:val="32"/>
          <w:highlight w:val="none"/>
          <w:u w:val="none"/>
          <w:lang w:val="en-US" w:eastAsia="zh-CN"/>
        </w:rPr>
        <w:t>于凤凯</w:t>
      </w:r>
      <w:r>
        <w:rPr>
          <w:rFonts w:hint="eastAsia" w:ascii="仿宋" w:hAnsi="仿宋" w:eastAsia="仿宋" w:cs="仿宋"/>
          <w:sz w:val="32"/>
          <w:szCs w:val="32"/>
          <w:highlight w:val="none"/>
          <w:lang w:val="en-US" w:eastAsia="zh-CN"/>
        </w:rPr>
        <w:t>未按规定向辽宁龙宇建设公司、抚顺特钢公司及政府有关部门报告事故发生情况，对事故瞒报</w:t>
      </w:r>
      <w:r>
        <w:rPr>
          <w:rFonts w:hint="eastAsia" w:ascii="仿宋" w:hAnsi="仿宋" w:eastAsia="仿宋" w:cs="仿宋"/>
          <w:bCs/>
          <w:sz w:val="32"/>
          <w:szCs w:val="32"/>
          <w:highlight w:val="none"/>
          <w:lang w:val="en-US" w:eastAsia="zh-CN"/>
        </w:rPr>
        <w:t>，违反《中华人民共和国安全生产法》第八十三条</w:t>
      </w:r>
      <w:r>
        <w:rPr>
          <w:rStyle w:val="17"/>
          <w:rFonts w:hint="eastAsia" w:ascii="仿宋" w:hAnsi="仿宋" w:eastAsia="仿宋" w:cs="仿宋"/>
          <w:bCs/>
          <w:sz w:val="32"/>
          <w:szCs w:val="32"/>
          <w:highlight w:val="none"/>
          <w:lang w:val="en-US" w:eastAsia="zh-CN"/>
        </w:rPr>
        <w:t>[</w:t>
      </w:r>
      <w:r>
        <w:rPr>
          <w:rStyle w:val="17"/>
          <w:rFonts w:hint="eastAsia" w:ascii="仿宋" w:hAnsi="仿宋" w:eastAsia="仿宋" w:cs="仿宋"/>
          <w:bCs/>
          <w:sz w:val="32"/>
          <w:szCs w:val="32"/>
          <w:highlight w:val="none"/>
          <w:lang w:val="en-US" w:eastAsia="zh-CN"/>
        </w:rPr>
        <w:footnoteReference w:id="6"/>
      </w:r>
      <w:r>
        <w:rPr>
          <w:rStyle w:val="17"/>
          <w:rFonts w:hint="eastAsia"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w:t>
      </w:r>
      <w:r>
        <w:rPr>
          <w:rFonts w:hint="eastAsia" w:ascii="仿宋" w:hAnsi="仿宋" w:eastAsia="仿宋" w:cs="仿宋"/>
          <w:bCs/>
          <w:sz w:val="32"/>
          <w:szCs w:val="32"/>
          <w:lang w:val="en-US" w:eastAsia="zh-CN"/>
        </w:rPr>
        <w:t>依据《生产安全事故报告和调查处理条例》第三十六条第（一）项</w:t>
      </w:r>
      <w:r>
        <w:rPr>
          <w:rStyle w:val="17"/>
          <w:rFonts w:hint="eastAsia" w:ascii="仿宋" w:hAnsi="仿宋" w:eastAsia="仿宋" w:cs="仿宋"/>
          <w:bCs/>
          <w:sz w:val="32"/>
          <w:szCs w:val="32"/>
          <w:lang w:val="en-US" w:eastAsia="zh-CN"/>
        </w:rPr>
        <w:t>[</w:t>
      </w:r>
      <w:r>
        <w:rPr>
          <w:rStyle w:val="17"/>
          <w:rFonts w:hint="eastAsia" w:ascii="仿宋" w:hAnsi="仿宋" w:eastAsia="仿宋" w:cs="仿宋"/>
          <w:bCs/>
          <w:sz w:val="32"/>
          <w:szCs w:val="32"/>
          <w:lang w:val="en-US" w:eastAsia="zh-CN"/>
        </w:rPr>
        <w:footnoteReference w:id="7"/>
      </w:r>
      <w:r>
        <w:rPr>
          <w:rStyle w:val="17"/>
          <w:rFonts w:hint="eastAsia" w:ascii="仿宋" w:hAnsi="仿宋" w:eastAsia="仿宋" w:cs="仿宋"/>
          <w:bCs/>
          <w:sz w:val="32"/>
          <w:szCs w:val="32"/>
          <w:lang w:val="en-US" w:eastAsia="zh-CN"/>
        </w:rPr>
        <w:t>]</w:t>
      </w:r>
      <w:r>
        <w:rPr>
          <w:rFonts w:hint="eastAsia" w:ascii="仿宋" w:hAnsi="仿宋" w:eastAsia="仿宋" w:cs="仿宋"/>
          <w:bCs/>
          <w:sz w:val="32"/>
          <w:szCs w:val="32"/>
          <w:lang w:val="en-US" w:eastAsia="zh-CN"/>
        </w:rPr>
        <w:t>、《应急管理行政处罚裁量权基准》</w:t>
      </w:r>
      <w:r>
        <w:rPr>
          <w:rFonts w:hint="eastAsia" w:ascii="仿宋_GB2312" w:hAnsi="仿宋_GB2312" w:eastAsia="仿宋_GB2312" w:cs="仿宋_GB2312"/>
          <w:b w:val="0"/>
          <w:bCs w:val="0"/>
          <w:sz w:val="32"/>
          <w:szCs w:val="32"/>
          <w:highlight w:val="none"/>
          <w:lang w:val="en-US" w:eastAsia="zh-CN"/>
        </w:rPr>
        <w:t>裁量细则第89项B档</w:t>
      </w:r>
      <w:r>
        <w:rPr>
          <w:rStyle w:val="17"/>
          <w:rFonts w:hint="eastAsia" w:ascii="仿宋_GB2312" w:hAnsi="仿宋_GB2312" w:eastAsia="仿宋_GB2312" w:cs="仿宋_GB2312"/>
          <w:b w:val="0"/>
          <w:bCs w:val="0"/>
          <w:sz w:val="32"/>
          <w:szCs w:val="32"/>
          <w:highlight w:val="none"/>
          <w:lang w:val="en-US" w:eastAsia="zh-CN"/>
        </w:rPr>
        <w:t>[</w:t>
      </w:r>
      <w:r>
        <w:rPr>
          <w:rStyle w:val="17"/>
          <w:rFonts w:hint="eastAsia" w:ascii="仿宋_GB2312" w:hAnsi="仿宋_GB2312" w:eastAsia="仿宋_GB2312" w:cs="仿宋_GB2312"/>
          <w:b w:val="0"/>
          <w:bCs w:val="0"/>
          <w:sz w:val="32"/>
          <w:szCs w:val="32"/>
          <w:highlight w:val="none"/>
          <w:lang w:val="en-US" w:eastAsia="zh-CN"/>
        </w:rPr>
        <w:footnoteReference w:id="8"/>
      </w:r>
      <w:r>
        <w:rPr>
          <w:rStyle w:val="17"/>
          <w:rFonts w:hint="eastAsia" w:ascii="仿宋_GB2312" w:hAnsi="仿宋_GB2312" w:eastAsia="仿宋_GB2312" w:cs="仿宋_GB2312"/>
          <w:b w:val="0"/>
          <w:bCs w:val="0"/>
          <w:sz w:val="32"/>
          <w:szCs w:val="32"/>
          <w:highlight w:val="none"/>
          <w:lang w:val="en-US" w:eastAsia="zh-CN"/>
        </w:rPr>
        <w:t>]</w:t>
      </w:r>
      <w:r>
        <w:rPr>
          <w:rFonts w:hint="eastAsia" w:ascii="仿宋" w:hAnsi="仿宋" w:eastAsia="仿宋" w:cs="仿宋"/>
          <w:bCs/>
          <w:sz w:val="32"/>
          <w:szCs w:val="32"/>
          <w:lang w:val="en-US" w:eastAsia="zh-CN"/>
        </w:rPr>
        <w:t>，建议由</w:t>
      </w:r>
      <w:r>
        <w:rPr>
          <w:rFonts w:hint="default" w:ascii="仿宋_GB2312" w:hAnsi="仿宋_GB2312" w:eastAsia="仿宋_GB2312" w:cs="仿宋_GB2312"/>
          <w:b w:val="0"/>
          <w:bCs w:val="0"/>
          <w:kern w:val="2"/>
          <w:sz w:val="32"/>
          <w:szCs w:val="32"/>
          <w:lang w:val="en-US" w:eastAsia="zh-CN" w:bidi="ar-SA"/>
        </w:rPr>
        <w:t>市应急局</w:t>
      </w:r>
      <w:r>
        <w:rPr>
          <w:rFonts w:hint="eastAsia" w:ascii="仿宋" w:hAnsi="仿宋" w:eastAsia="仿宋" w:cs="仿宋"/>
          <w:bCs/>
          <w:sz w:val="32"/>
          <w:szCs w:val="32"/>
          <w:lang w:val="en-US" w:eastAsia="zh-CN"/>
        </w:rPr>
        <w:t>对其处上一年年收入百分之</w:t>
      </w:r>
      <w:r>
        <w:rPr>
          <w:rFonts w:hint="eastAsia" w:ascii="仿宋" w:hAnsi="仿宋" w:eastAsia="仿宋" w:cs="仿宋"/>
          <w:bCs/>
          <w:color w:val="auto"/>
          <w:sz w:val="32"/>
          <w:szCs w:val="32"/>
          <w:lang w:val="en-US" w:eastAsia="zh-CN"/>
        </w:rPr>
        <w:t>七十的</w:t>
      </w:r>
      <w:r>
        <w:rPr>
          <w:rFonts w:hint="eastAsia" w:ascii="仿宋" w:hAnsi="仿宋" w:eastAsia="仿宋" w:cs="仿宋"/>
          <w:bCs/>
          <w:sz w:val="32"/>
          <w:szCs w:val="32"/>
          <w:lang w:val="en-US" w:eastAsia="zh-CN"/>
        </w:rPr>
        <w:t>罚款的行政处罚</w:t>
      </w:r>
      <w:r>
        <w:rPr>
          <w:rFonts w:hint="eastAsia" w:ascii="仿宋" w:hAnsi="仿宋" w:eastAsia="仿宋" w:cs="仿宋"/>
          <w:color w:val="000000"/>
          <w:sz w:val="32"/>
          <w:szCs w:val="32"/>
          <w:lang w:val="en-US" w:eastAsia="zh-CN"/>
        </w:rPr>
        <w:t>。</w:t>
      </w:r>
    </w:p>
    <w:p w14:paraId="37B5BDF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5.王世伟，辽宁龙宇建设公司副总经理（工程项目经理），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未按照合同要求到施工作业现场履职，</w:t>
      </w:r>
      <w:r>
        <w:rPr>
          <w:rFonts w:hint="eastAsia" w:ascii="仿宋" w:hAnsi="仿宋" w:eastAsia="仿宋" w:cs="仿宋"/>
          <w:bCs/>
          <w:color w:val="000000" w:themeColor="text1"/>
          <w:kern w:val="2"/>
          <w:sz w:val="32"/>
          <w:szCs w:val="32"/>
          <w:highlight w:val="none"/>
          <w:lang w:val="en-US" w:eastAsia="zh-CN" w:bidi="ar-SA"/>
          <w14:textFill>
            <w14:solidFill>
              <w14:schemeClr w14:val="tx1"/>
            </w14:solidFill>
          </w14:textFill>
        </w:rPr>
        <w:t>未</w:t>
      </w:r>
      <w:r>
        <w:rPr>
          <w:rFonts w:hint="eastAsia" w:ascii="仿宋" w:hAnsi="仿宋" w:eastAsia="仿宋" w:cs="仿宋"/>
          <w:bCs/>
          <w:kern w:val="2"/>
          <w:sz w:val="32"/>
          <w:szCs w:val="32"/>
          <w:highlight w:val="none"/>
          <w:lang w:val="en-US" w:eastAsia="zh-CN" w:bidi="ar-SA"/>
        </w:rPr>
        <w:t>及时排查、消除生产安全事故隐患，</w:t>
      </w:r>
      <w:r>
        <w:rPr>
          <w:rFonts w:hint="default" w:ascii="仿宋_GB2312" w:hAnsi="仿宋_GB2312" w:eastAsia="仿宋_GB2312" w:cs="仿宋_GB2312"/>
          <w:b w:val="0"/>
          <w:bCs w:val="0"/>
          <w:kern w:val="2"/>
          <w:sz w:val="32"/>
          <w:szCs w:val="32"/>
          <w:lang w:val="en-US" w:eastAsia="zh-CN" w:bidi="ar-SA"/>
        </w:rPr>
        <w:t>违反了《中华人民共和国安全生产法》第二十五条第一款第（五）项，对事故发生负有责任，依据《中华人民共和国安全生产法》第九十六条、《生产安全事故罚款处罚规定》第二十条第（一）项，建议由市住建局暂停其与安全生产有关的资格3个月，建议</w:t>
      </w:r>
      <w:r>
        <w:rPr>
          <w:rFonts w:hint="eastAsia" w:ascii="仿宋_GB2312" w:hAnsi="仿宋_GB2312" w:eastAsia="仿宋_GB2312" w:cs="仿宋_GB2312"/>
          <w:b w:val="0"/>
          <w:bCs w:val="0"/>
          <w:kern w:val="2"/>
          <w:sz w:val="32"/>
          <w:szCs w:val="32"/>
          <w:lang w:val="en-US" w:eastAsia="zh-CN" w:bidi="ar-SA"/>
        </w:rPr>
        <w:t>由</w:t>
      </w:r>
      <w:r>
        <w:rPr>
          <w:rFonts w:hint="default" w:ascii="仿宋_GB2312" w:hAnsi="仿宋_GB2312" w:eastAsia="仿宋_GB2312" w:cs="仿宋_GB2312"/>
          <w:b w:val="0"/>
          <w:bCs w:val="0"/>
          <w:kern w:val="2"/>
          <w:sz w:val="32"/>
          <w:szCs w:val="32"/>
          <w:lang w:val="en-US" w:eastAsia="zh-CN" w:bidi="ar-SA"/>
        </w:rPr>
        <w:t>市应急局对其处上一年年收入百分之二十的罚款的行政处罚</w:t>
      </w:r>
      <w:r>
        <w:rPr>
          <w:rFonts w:hint="eastAsia" w:ascii="仿宋" w:hAnsi="仿宋" w:eastAsia="仿宋" w:cs="仿宋"/>
          <w:color w:val="000000"/>
          <w:sz w:val="32"/>
          <w:szCs w:val="32"/>
          <w:lang w:val="en-US" w:eastAsia="zh-CN"/>
        </w:rPr>
        <w:t>。</w:t>
      </w:r>
    </w:p>
    <w:p w14:paraId="187CA70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6.马俊，辽宁龙宇建设公司</w:t>
      </w:r>
      <w:r>
        <w:rPr>
          <w:rFonts w:hint="eastAsia" w:ascii="仿宋" w:hAnsi="仿宋" w:eastAsia="仿宋" w:cs="仿宋"/>
          <w:bCs/>
          <w:color w:val="auto"/>
          <w:sz w:val="32"/>
          <w:szCs w:val="32"/>
          <w:lang w:eastAsia="zh-CN"/>
        </w:rPr>
        <w:t>实际控制人、董事长，</w:t>
      </w:r>
      <w:r>
        <w:rPr>
          <w:rFonts w:hint="eastAsia" w:ascii="仿宋_GB2312" w:hAnsi="仿宋_GB2312" w:eastAsia="仿宋_GB2312" w:cs="仿宋_GB2312"/>
          <w:b w:val="0"/>
          <w:bCs w:val="0"/>
          <w:sz w:val="32"/>
          <w:szCs w:val="32"/>
          <w:lang w:val="en-US" w:eastAsia="zh-CN"/>
        </w:rPr>
        <w:t>落实安全生产主体责任不到位，未按照规定修订全员安全生产责任制</w:t>
      </w:r>
      <w:r>
        <w:rPr>
          <w:rFonts w:hint="eastAsia" w:ascii="仿宋" w:hAnsi="仿宋" w:eastAsia="仿宋" w:cs="仿宋"/>
          <w:bCs/>
          <w:color w:val="auto"/>
          <w:sz w:val="32"/>
          <w:szCs w:val="32"/>
          <w:highlight w:val="none"/>
          <w:lang w:eastAsia="zh-CN"/>
        </w:rPr>
        <w:t>和应急预案</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lang w:val="en-US" w:eastAsia="zh-CN"/>
        </w:rPr>
        <w:t>未督促员工依法依规</w:t>
      </w:r>
      <w:r>
        <w:rPr>
          <w:rFonts w:hint="eastAsia" w:ascii="仿宋" w:hAnsi="仿宋" w:eastAsia="仿宋" w:cs="仿宋"/>
          <w:bCs/>
          <w:color w:val="auto"/>
          <w:sz w:val="32"/>
          <w:szCs w:val="32"/>
          <w:lang w:eastAsia="zh-CN"/>
        </w:rPr>
        <w:t>事故报</w:t>
      </w:r>
      <w:r>
        <w:rPr>
          <w:rFonts w:hint="eastAsia" w:ascii="仿宋_GB2312" w:hAnsi="仿宋_GB2312" w:eastAsia="仿宋_GB2312" w:cs="仿宋_GB2312"/>
          <w:b w:val="0"/>
          <w:bCs w:val="0"/>
          <w:color w:val="auto"/>
          <w:sz w:val="32"/>
          <w:szCs w:val="32"/>
          <w:lang w:val="en-US" w:eastAsia="zh-CN"/>
        </w:rPr>
        <w:t>告，</w:t>
      </w:r>
      <w:r>
        <w:rPr>
          <w:rFonts w:hint="eastAsia" w:ascii="仿宋_GB2312" w:hAnsi="仿宋_GB2312" w:eastAsia="仿宋_GB2312" w:cs="仿宋_GB2312"/>
          <w:b w:val="0"/>
          <w:bCs w:val="0"/>
          <w:sz w:val="32"/>
          <w:szCs w:val="32"/>
          <w:lang w:val="en-US" w:eastAsia="zh-CN"/>
        </w:rPr>
        <w:t>未有效履行安全管理职责，</w:t>
      </w:r>
      <w:r>
        <w:rPr>
          <w:rFonts w:hint="eastAsia" w:ascii="仿宋" w:hAnsi="仿宋" w:eastAsia="仿宋" w:cs="仿宋"/>
          <w:bCs/>
          <w:color w:val="000000" w:themeColor="text1"/>
          <w:kern w:val="2"/>
          <w:sz w:val="32"/>
          <w:szCs w:val="32"/>
          <w:highlight w:val="none"/>
          <w:lang w:val="en-US" w:eastAsia="zh-CN" w:bidi="ar-SA"/>
          <w14:textFill>
            <w14:solidFill>
              <w14:schemeClr w14:val="tx1"/>
            </w14:solidFill>
          </w14:textFill>
        </w:rPr>
        <w:t>未</w:t>
      </w:r>
      <w:r>
        <w:rPr>
          <w:rFonts w:hint="eastAsia" w:ascii="仿宋" w:hAnsi="仿宋" w:eastAsia="仿宋" w:cs="仿宋"/>
          <w:bCs/>
          <w:kern w:val="2"/>
          <w:sz w:val="32"/>
          <w:szCs w:val="32"/>
          <w:highlight w:val="none"/>
          <w:lang w:val="en-US" w:eastAsia="zh-CN" w:bidi="ar-SA"/>
        </w:rPr>
        <w:t>及时排查、消除生产安全事故隐患，</w:t>
      </w:r>
      <w:r>
        <w:rPr>
          <w:rFonts w:hint="eastAsia" w:ascii="仿宋_GB2312" w:hAnsi="仿宋_GB2312" w:eastAsia="仿宋_GB2312" w:cs="仿宋_GB2312"/>
          <w:sz w:val="32"/>
          <w:szCs w:val="32"/>
          <w:highlight w:val="none"/>
          <w:lang w:val="en-US" w:eastAsia="zh-CN"/>
        </w:rPr>
        <w:t>违反《中华人民共和国安全生产法》第二十一条第（一）项、第（六）项</w:t>
      </w:r>
      <w:r>
        <w:rPr>
          <w:rStyle w:val="17"/>
          <w:rFonts w:hint="eastAsia" w:ascii="黑体" w:hAnsi="黑体" w:eastAsia="黑体" w:cs="黑体"/>
          <w:bCs/>
          <w:kern w:val="1"/>
          <w:sz w:val="32"/>
          <w:szCs w:val="32"/>
          <w:lang w:val="en-US" w:eastAsia="zh-CN"/>
        </w:rPr>
        <w:t>[</w:t>
      </w:r>
      <w:r>
        <w:rPr>
          <w:rStyle w:val="17"/>
          <w:rFonts w:hint="eastAsia" w:ascii="黑体" w:hAnsi="黑体" w:eastAsia="黑体" w:cs="黑体"/>
          <w:bCs/>
          <w:kern w:val="1"/>
          <w:sz w:val="32"/>
          <w:szCs w:val="32"/>
          <w:lang w:val="en-US" w:eastAsia="zh-CN"/>
        </w:rPr>
        <w:footnoteReference w:id="9"/>
      </w:r>
      <w:r>
        <w:rPr>
          <w:rStyle w:val="17"/>
          <w:rFonts w:hint="eastAsia" w:ascii="黑体" w:hAnsi="黑体" w:eastAsia="黑体" w:cs="黑体"/>
          <w:bCs/>
          <w:kern w:val="1"/>
          <w:sz w:val="32"/>
          <w:szCs w:val="32"/>
          <w:lang w:val="en-US" w:eastAsia="zh-CN"/>
        </w:rPr>
        <w:t>]</w:t>
      </w:r>
      <w:r>
        <w:rPr>
          <w:rFonts w:hint="eastAsia" w:ascii="仿宋_GB2312" w:hAnsi="仿宋_GB2312" w:eastAsia="仿宋_GB2312" w:cs="仿宋_GB2312"/>
          <w:sz w:val="32"/>
          <w:szCs w:val="32"/>
          <w:highlight w:val="none"/>
          <w:lang w:val="en-US" w:eastAsia="zh-CN"/>
        </w:rPr>
        <w:t>，对事故发生负有责任，依据《中华人民共和国安全生产法》第九十五条第（一）项</w:t>
      </w:r>
      <w:r>
        <w:rPr>
          <w:rStyle w:val="17"/>
          <w:rFonts w:hint="eastAsia" w:ascii="黑体" w:hAnsi="黑体" w:eastAsia="黑体" w:cs="黑体"/>
          <w:bCs/>
          <w:kern w:val="1"/>
          <w:sz w:val="32"/>
          <w:szCs w:val="32"/>
          <w:lang w:val="en-US" w:eastAsia="zh-CN"/>
        </w:rPr>
        <w:t>[</w:t>
      </w:r>
      <w:r>
        <w:rPr>
          <w:rStyle w:val="17"/>
          <w:rFonts w:hint="eastAsia" w:ascii="黑体" w:hAnsi="黑体" w:eastAsia="黑体" w:cs="黑体"/>
          <w:bCs/>
          <w:kern w:val="1"/>
          <w:sz w:val="32"/>
          <w:szCs w:val="32"/>
          <w:lang w:val="en-US" w:eastAsia="zh-CN"/>
        </w:rPr>
        <w:footnoteReference w:id="10"/>
      </w:r>
      <w:r>
        <w:rPr>
          <w:rStyle w:val="17"/>
          <w:rFonts w:hint="eastAsia" w:ascii="黑体" w:hAnsi="黑体" w:eastAsia="黑体" w:cs="黑体"/>
          <w:bCs/>
          <w:kern w:val="1"/>
          <w:sz w:val="32"/>
          <w:szCs w:val="32"/>
          <w:lang w:val="en-US" w:eastAsia="zh-CN"/>
        </w:rPr>
        <w:t>]</w:t>
      </w:r>
      <w:r>
        <w:rPr>
          <w:rFonts w:hint="eastAsia" w:ascii="仿宋_GB2312" w:hAnsi="仿宋_GB2312" w:eastAsia="仿宋_GB2312" w:cs="仿宋_GB2312"/>
          <w:sz w:val="32"/>
          <w:szCs w:val="32"/>
          <w:highlight w:val="none"/>
          <w:lang w:val="en-US" w:eastAsia="zh-CN"/>
        </w:rPr>
        <w:t>、《生产安全事故罚款处罚规定》第十九条第（一）项</w:t>
      </w:r>
      <w:r>
        <w:rPr>
          <w:rStyle w:val="17"/>
          <w:rFonts w:hint="eastAsia" w:ascii="黑体" w:hAnsi="黑体" w:eastAsia="黑体" w:cs="黑体"/>
          <w:bCs/>
          <w:kern w:val="1"/>
          <w:sz w:val="32"/>
          <w:szCs w:val="32"/>
          <w:lang w:val="en-US" w:eastAsia="zh-CN"/>
        </w:rPr>
        <w:t>[</w:t>
      </w:r>
      <w:r>
        <w:rPr>
          <w:rStyle w:val="17"/>
          <w:rFonts w:hint="eastAsia" w:ascii="黑体" w:hAnsi="黑体" w:eastAsia="黑体" w:cs="黑体"/>
          <w:bCs/>
          <w:kern w:val="1"/>
          <w:sz w:val="32"/>
          <w:szCs w:val="32"/>
          <w:lang w:val="en-US" w:eastAsia="zh-CN"/>
        </w:rPr>
        <w:footnoteReference w:id="11"/>
      </w:r>
      <w:r>
        <w:rPr>
          <w:rStyle w:val="17"/>
          <w:rFonts w:hint="eastAsia" w:ascii="黑体" w:hAnsi="黑体" w:eastAsia="黑体" w:cs="黑体"/>
          <w:bCs/>
          <w:kern w:val="1"/>
          <w:sz w:val="32"/>
          <w:szCs w:val="32"/>
          <w:lang w:val="en-US" w:eastAsia="zh-CN"/>
        </w:rPr>
        <w:t>]</w:t>
      </w:r>
      <w:r>
        <w:rPr>
          <w:rFonts w:hint="eastAsia" w:ascii="仿宋_GB2312" w:hAnsi="仿宋" w:eastAsia="仿宋_GB2312" w:cs="Times New Roman"/>
          <w:color w:val="000000"/>
          <w:kern w:val="2"/>
          <w:sz w:val="32"/>
          <w:szCs w:val="32"/>
          <w:lang w:val="en-US" w:eastAsia="zh-CN" w:bidi="ar-SA"/>
        </w:rPr>
        <w:t>，</w:t>
      </w:r>
      <w:r>
        <w:rPr>
          <w:rFonts w:hint="eastAsia" w:ascii="仿宋_GB2312" w:hAnsi="仿宋_GB2312" w:eastAsia="仿宋_GB2312" w:cs="仿宋_GB2312"/>
          <w:color w:val="auto"/>
          <w:sz w:val="32"/>
          <w:szCs w:val="32"/>
          <w:highlight w:val="none"/>
          <w:lang w:val="en-US" w:eastAsia="zh-CN"/>
        </w:rPr>
        <w:t>建议由市应急局对其处上一年年收入百分之四十的罚款的行政处罚</w:t>
      </w:r>
      <w:r>
        <w:rPr>
          <w:rFonts w:hint="eastAsia" w:ascii="仿宋" w:hAnsi="仿宋" w:eastAsia="仿宋" w:cs="仿宋"/>
          <w:color w:val="000000"/>
          <w:sz w:val="32"/>
          <w:szCs w:val="32"/>
          <w:lang w:val="en-US" w:eastAsia="zh-CN"/>
        </w:rPr>
        <w:t>。</w:t>
      </w:r>
    </w:p>
    <w:p w14:paraId="1C97E65F">
      <w:pPr>
        <w:numPr>
          <w:ilvl w:val="0"/>
          <w:numId w:val="0"/>
        </w:numPr>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7.谷汶函，抚顺特钢公司轧钢厂工程项目专责，</w:t>
      </w:r>
      <w:r>
        <w:rPr>
          <w:rFonts w:hint="eastAsia" w:ascii="仿宋_GB2312" w:hAnsi="仿宋_GB2312" w:eastAsia="仿宋_GB2312" w:cs="仿宋_GB2312"/>
          <w:b w:val="0"/>
          <w:bCs w:val="0"/>
          <w:sz w:val="32"/>
          <w:szCs w:val="32"/>
          <w:highlight w:val="none"/>
          <w:lang w:val="en-US" w:eastAsia="zh-CN"/>
        </w:rPr>
        <w:t>对</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 w:hAnsi="仿宋" w:eastAsia="仿宋" w:cs="仿宋"/>
          <w:bCs/>
          <w:color w:val="auto"/>
          <w:sz w:val="32"/>
          <w:szCs w:val="32"/>
          <w:highlight w:val="none"/>
          <w:lang w:val="en-US" w:eastAsia="zh-CN"/>
        </w:rPr>
        <w:t>安全生产统一协调管理不到位，对</w:t>
      </w:r>
      <w:r>
        <w:rPr>
          <w:rFonts w:hint="eastAsia" w:ascii="仿宋_GB2312" w:hAnsi="仿宋_GB2312" w:eastAsia="仿宋_GB2312" w:cs="仿宋_GB2312"/>
          <w:color w:val="auto"/>
          <w:sz w:val="32"/>
          <w:szCs w:val="32"/>
          <w:highlight w:val="none"/>
          <w:lang w:val="en-US" w:eastAsia="zh-CN"/>
        </w:rPr>
        <w:t>项目经理</w:t>
      </w:r>
      <w:r>
        <w:rPr>
          <w:rFonts w:hint="eastAsia" w:ascii="仿宋_GB2312" w:hAnsi="仿宋_GB2312" w:eastAsia="仿宋_GB2312" w:cs="仿宋_GB2312"/>
          <w:b w:val="0"/>
          <w:bCs w:val="0"/>
          <w:color w:val="auto"/>
          <w:sz w:val="32"/>
          <w:szCs w:val="32"/>
          <w:highlight w:val="none"/>
          <w:lang w:val="en-US" w:eastAsia="zh-CN"/>
        </w:rPr>
        <w:t>未在现场履职、高处作业管理不到位失管失察，违反了《中华人民共和国安全生产法》第四十九条第二款</w:t>
      </w:r>
      <w:r>
        <w:rPr>
          <w:rStyle w:val="17"/>
          <w:rFonts w:hint="eastAsia" w:ascii="黑体" w:hAnsi="黑体" w:eastAsia="黑体" w:cs="黑体"/>
          <w:bCs/>
          <w:color w:val="auto"/>
          <w:kern w:val="1"/>
          <w:sz w:val="32"/>
          <w:szCs w:val="32"/>
          <w:lang w:val="en-US" w:eastAsia="zh-CN" w:bidi="ar-SA"/>
        </w:rPr>
        <w:t>[</w:t>
      </w:r>
      <w:r>
        <w:rPr>
          <w:rStyle w:val="17"/>
          <w:rFonts w:hint="eastAsia" w:ascii="黑体" w:hAnsi="黑体" w:eastAsia="黑体" w:cs="黑体"/>
          <w:bCs/>
          <w:color w:val="auto"/>
          <w:kern w:val="1"/>
          <w:sz w:val="32"/>
          <w:szCs w:val="32"/>
          <w:lang w:val="en-US" w:eastAsia="zh-CN" w:bidi="ar-SA"/>
        </w:rPr>
        <w:footnoteReference w:id="12"/>
      </w:r>
      <w:r>
        <w:rPr>
          <w:rStyle w:val="17"/>
          <w:rFonts w:hint="eastAsia" w:ascii="黑体" w:hAnsi="黑体" w:eastAsia="黑体" w:cs="黑体"/>
          <w:bCs/>
          <w:color w:val="auto"/>
          <w:kern w:val="1"/>
          <w:sz w:val="32"/>
          <w:szCs w:val="32"/>
          <w:lang w:val="en-US" w:eastAsia="zh-CN" w:bidi="ar-SA"/>
        </w:rPr>
        <w:t>]</w:t>
      </w:r>
      <w:r>
        <w:rPr>
          <w:rFonts w:hint="eastAsia" w:ascii="仿宋_GB2312" w:hAnsi="仿宋_GB2312" w:eastAsia="仿宋_GB2312" w:cs="仿宋_GB2312"/>
          <w:b w:val="0"/>
          <w:bCs w:val="0"/>
          <w:color w:val="auto"/>
          <w:sz w:val="32"/>
          <w:szCs w:val="32"/>
          <w:highlight w:val="none"/>
          <w:lang w:val="en-US" w:eastAsia="zh-CN"/>
        </w:rPr>
        <w:t>，依据《中华人民共和国安全生产法》第一百零三条第二款</w:t>
      </w:r>
      <w:r>
        <w:rPr>
          <w:rStyle w:val="17"/>
          <w:rFonts w:hint="eastAsia" w:ascii="黑体" w:hAnsi="黑体" w:eastAsia="黑体" w:cs="黑体"/>
          <w:bCs/>
          <w:color w:val="auto"/>
          <w:kern w:val="1"/>
          <w:sz w:val="32"/>
          <w:szCs w:val="32"/>
          <w:lang w:val="en-US" w:eastAsia="zh-CN" w:bidi="ar-SA"/>
        </w:rPr>
        <w:t>[</w:t>
      </w:r>
      <w:r>
        <w:rPr>
          <w:rStyle w:val="17"/>
          <w:rFonts w:hint="eastAsia" w:ascii="黑体" w:hAnsi="黑体" w:eastAsia="黑体" w:cs="黑体"/>
          <w:bCs/>
          <w:color w:val="auto"/>
          <w:kern w:val="1"/>
          <w:sz w:val="32"/>
          <w:szCs w:val="32"/>
          <w:lang w:val="en-US" w:eastAsia="zh-CN" w:bidi="ar-SA"/>
        </w:rPr>
        <w:footnoteReference w:id="13"/>
      </w:r>
      <w:r>
        <w:rPr>
          <w:rStyle w:val="17"/>
          <w:rFonts w:hint="eastAsia" w:ascii="黑体" w:hAnsi="黑体" w:eastAsia="黑体" w:cs="黑体"/>
          <w:bCs/>
          <w:color w:val="auto"/>
          <w:kern w:val="1"/>
          <w:sz w:val="32"/>
          <w:szCs w:val="32"/>
          <w:lang w:val="en-US" w:eastAsia="zh-CN" w:bidi="ar-SA"/>
        </w:rPr>
        <w:t>]</w:t>
      </w:r>
      <w:r>
        <w:rPr>
          <w:rFonts w:hint="eastAsia" w:ascii="仿宋_GB2312" w:hAnsi="仿宋_GB2312" w:eastAsia="仿宋_GB2312" w:cs="仿宋_GB2312"/>
          <w:b w:val="0"/>
          <w:bCs w:val="0"/>
          <w:color w:val="auto"/>
          <w:sz w:val="32"/>
          <w:szCs w:val="32"/>
          <w:highlight w:val="none"/>
          <w:lang w:val="en-US" w:eastAsia="zh-CN"/>
        </w:rPr>
        <w:t>、《应急管理行政处罚裁量权基准》裁量细则第58项B档</w:t>
      </w:r>
      <w:r>
        <w:rPr>
          <w:rStyle w:val="17"/>
          <w:rFonts w:hint="eastAsia" w:ascii="黑体" w:hAnsi="黑体" w:eastAsia="黑体" w:cs="黑体"/>
          <w:bCs/>
          <w:color w:val="auto"/>
          <w:kern w:val="1"/>
          <w:sz w:val="32"/>
          <w:szCs w:val="32"/>
          <w:lang w:val="en-US" w:eastAsia="zh-CN" w:bidi="ar-SA"/>
        </w:rPr>
        <w:t>[</w:t>
      </w:r>
      <w:r>
        <w:rPr>
          <w:rStyle w:val="17"/>
          <w:rFonts w:hint="eastAsia" w:ascii="黑体" w:hAnsi="黑体" w:eastAsia="黑体" w:cs="黑体"/>
          <w:bCs/>
          <w:color w:val="auto"/>
          <w:kern w:val="1"/>
          <w:sz w:val="32"/>
          <w:szCs w:val="32"/>
          <w:lang w:val="en-US" w:eastAsia="zh-CN" w:bidi="ar-SA"/>
        </w:rPr>
        <w:footnoteReference w:id="14"/>
      </w:r>
      <w:r>
        <w:rPr>
          <w:rStyle w:val="17"/>
          <w:rFonts w:hint="eastAsia" w:ascii="黑体" w:hAnsi="黑体" w:eastAsia="黑体" w:cs="黑体"/>
          <w:bCs/>
          <w:color w:val="auto"/>
          <w:kern w:val="1"/>
          <w:sz w:val="32"/>
          <w:szCs w:val="32"/>
          <w:lang w:val="en-US" w:eastAsia="zh-CN" w:bidi="ar-SA"/>
        </w:rPr>
        <w:t>]</w:t>
      </w:r>
      <w:r>
        <w:rPr>
          <w:rFonts w:hint="eastAsia" w:ascii="仿宋_GB2312" w:hAnsi="仿宋_GB2312" w:eastAsia="仿宋_GB2312" w:cs="仿宋_GB2312"/>
          <w:b w:val="0"/>
          <w:bCs w:val="0"/>
          <w:color w:val="auto"/>
          <w:sz w:val="32"/>
          <w:szCs w:val="32"/>
          <w:highlight w:val="none"/>
          <w:lang w:val="en-US" w:eastAsia="zh-CN"/>
        </w:rPr>
        <w:t>，建议由市应急局对其行政处罚。</w:t>
      </w:r>
    </w:p>
    <w:p w14:paraId="26EFDF72">
      <w:pPr>
        <w:numPr>
          <w:ilvl w:val="0"/>
          <w:numId w:val="0"/>
        </w:numPr>
        <w:ind w:firstLine="640" w:firstLineChars="200"/>
        <w:rPr>
          <w:rFonts w:hint="default" w:ascii="楷体_GB2312" w:hAnsi="楷体_GB2312" w:eastAsia="楷体_GB2312" w:cs="楷体_GB2312"/>
          <w:b/>
          <w:kern w:val="1"/>
          <w:sz w:val="32"/>
          <w:szCs w:val="32"/>
          <w:lang w:val="en-US" w:eastAsia="zh-CN"/>
        </w:rPr>
      </w:pPr>
      <w:r>
        <w:rPr>
          <w:rFonts w:hint="eastAsia" w:ascii="仿宋_GB2312" w:hAnsi="仿宋_GB2312" w:eastAsia="仿宋_GB2312" w:cs="仿宋_GB2312"/>
          <w:b w:val="0"/>
          <w:bCs w:val="0"/>
          <w:kern w:val="2"/>
          <w:sz w:val="32"/>
          <w:szCs w:val="32"/>
          <w:highlight w:val="none"/>
          <w:lang w:val="en-US" w:eastAsia="zh-CN" w:bidi="ar-SA"/>
        </w:rPr>
        <w:t>8.褚林，抚顺特钢公司</w:t>
      </w:r>
      <w:r>
        <w:rPr>
          <w:rFonts w:hint="eastAsia" w:ascii="仿宋" w:hAnsi="仿宋" w:eastAsia="仿宋" w:cs="仿宋"/>
          <w:b w:val="0"/>
          <w:bCs/>
          <w:color w:val="auto"/>
          <w:kern w:val="2"/>
          <w:sz w:val="32"/>
          <w:szCs w:val="32"/>
          <w:highlight w:val="none"/>
          <w:lang w:val="en-US" w:eastAsia="zh-CN" w:bidi="ar-SA"/>
        </w:rPr>
        <w:t>轧钢厂设备科副科长</w:t>
      </w:r>
      <w:r>
        <w:rPr>
          <w:rFonts w:hint="eastAsia" w:ascii="仿宋_GB2312" w:hAnsi="仿宋_GB2312" w:eastAsia="仿宋_GB2312" w:cs="仿宋_GB2312"/>
          <w:b w:val="0"/>
          <w:bCs w:val="0"/>
          <w:kern w:val="2"/>
          <w:sz w:val="32"/>
          <w:szCs w:val="32"/>
          <w:highlight w:val="none"/>
          <w:lang w:val="en-US" w:eastAsia="zh-CN" w:bidi="ar-SA"/>
        </w:rPr>
        <w:t>，负责设备科全面工作，负责初轧条线的设备管理工作，包括轧钢厂天车维修项目，</w:t>
      </w:r>
      <w:r>
        <w:rPr>
          <w:rFonts w:hint="eastAsia" w:ascii="仿宋_GB2312" w:hAnsi="仿宋_GB2312" w:eastAsia="仿宋_GB2312" w:cs="仿宋_GB2312"/>
          <w:b w:val="0"/>
          <w:bCs w:val="0"/>
          <w:sz w:val="32"/>
          <w:szCs w:val="32"/>
          <w:highlight w:val="none"/>
          <w:lang w:val="en-US" w:eastAsia="zh-CN"/>
        </w:rPr>
        <w:t>对</w:t>
      </w: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 w:hAnsi="仿宋" w:eastAsia="仿宋" w:cs="仿宋"/>
          <w:bCs/>
          <w:color w:val="auto"/>
          <w:sz w:val="32"/>
          <w:szCs w:val="32"/>
          <w:highlight w:val="none"/>
          <w:lang w:val="en-US" w:eastAsia="zh-CN"/>
        </w:rPr>
        <w:t>安全生产统一协调管理不到位，对</w:t>
      </w:r>
      <w:r>
        <w:rPr>
          <w:rFonts w:hint="eastAsia" w:ascii="仿宋_GB2312" w:hAnsi="仿宋_GB2312" w:eastAsia="仿宋_GB2312" w:cs="仿宋_GB2312"/>
          <w:color w:val="auto"/>
          <w:sz w:val="32"/>
          <w:szCs w:val="32"/>
          <w:highlight w:val="none"/>
          <w:lang w:val="en-US" w:eastAsia="zh-CN"/>
        </w:rPr>
        <w:t>项目经理</w:t>
      </w:r>
      <w:r>
        <w:rPr>
          <w:rFonts w:hint="eastAsia" w:ascii="仿宋_GB2312" w:hAnsi="仿宋_GB2312" w:eastAsia="仿宋_GB2312" w:cs="仿宋_GB2312"/>
          <w:b w:val="0"/>
          <w:bCs w:val="0"/>
          <w:color w:val="auto"/>
          <w:sz w:val="32"/>
          <w:szCs w:val="32"/>
          <w:highlight w:val="none"/>
          <w:lang w:val="en-US" w:eastAsia="zh-CN"/>
        </w:rPr>
        <w:t>未在现场履职责、高处作业管理不到位失管失察，违反了《中华人民共和国安全生产法》第四十九条第二款，依据《中华人民共和国安全生产法》第一百零三条第二款、《应急管理行政处罚裁量权基准》裁量细则第58项B档，建议由市应急局对其行政处罚。</w:t>
      </w:r>
    </w:p>
    <w:p w14:paraId="4BB0B322">
      <w:pPr>
        <w:keepNext w:val="0"/>
        <w:keepLines w:val="0"/>
        <w:pageBreakBefore w:val="0"/>
        <w:widowControl w:val="0"/>
        <w:kinsoku/>
        <w:wordWrap/>
        <w:overflowPunct/>
        <w:topLinePunct w:val="0"/>
        <w:autoSpaceDE/>
        <w:autoSpaceDN/>
        <w:bidi w:val="0"/>
        <w:adjustRightInd/>
        <w:spacing w:line="560" w:lineRule="exact"/>
        <w:ind w:firstLine="643" w:firstLineChars="0"/>
        <w:textAlignment w:val="auto"/>
        <w:outlineLvl w:val="1"/>
        <w:rPr>
          <w:rFonts w:hint="eastAsia" w:ascii="楷体_GB2312" w:hAnsi="楷体_GB2312" w:eastAsia="楷体_GB2312" w:cs="楷体_GB2312"/>
          <w:b/>
          <w:bCs w:val="0"/>
          <w:color w:val="000000"/>
          <w:sz w:val="32"/>
          <w:szCs w:val="32"/>
          <w:lang w:eastAsia="zh-CN"/>
        </w:rPr>
      </w:pPr>
      <w:r>
        <w:rPr>
          <w:rFonts w:hint="eastAsia" w:ascii="楷体_GB2312" w:hAnsi="楷体_GB2312" w:eastAsia="楷体_GB2312" w:cs="楷体_GB2312"/>
          <w:b/>
          <w:bCs/>
          <w:color w:val="000000"/>
          <w:sz w:val="32"/>
          <w:szCs w:val="32"/>
        </w:rPr>
        <w:t>（二）</w:t>
      </w:r>
      <w:r>
        <w:rPr>
          <w:rFonts w:hint="eastAsia" w:ascii="楷体_GB2312" w:hAnsi="楷体_GB2312" w:eastAsia="楷体_GB2312" w:cs="楷体_GB2312"/>
          <w:b/>
          <w:bCs w:val="0"/>
          <w:color w:val="000000"/>
          <w:sz w:val="32"/>
          <w:szCs w:val="32"/>
          <w:lang w:eastAsia="zh-CN"/>
        </w:rPr>
        <w:t>事故责任单位的处理建议</w:t>
      </w:r>
    </w:p>
    <w:p w14:paraId="13574A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kern w:val="1"/>
          <w:sz w:val="32"/>
          <w:szCs w:val="32"/>
          <w:highlight w:val="blue"/>
          <w:lang w:val="en-US" w:eastAsia="zh-CN"/>
        </w:rPr>
      </w:pPr>
      <w:r>
        <w:rPr>
          <w:rFonts w:hint="eastAsia" w:ascii="仿宋_GB2312" w:hAnsi="仿宋_GB2312" w:eastAsia="仿宋_GB2312" w:cs="仿宋_GB2312"/>
          <w:color w:val="auto"/>
          <w:sz w:val="32"/>
          <w:szCs w:val="32"/>
          <w:highlight w:val="none"/>
          <w:lang w:val="en-US" w:eastAsia="zh-CN"/>
        </w:rPr>
        <w:t>辽宁龙宇建设公司，</w:t>
      </w:r>
      <w:r>
        <w:rPr>
          <w:rFonts w:hint="eastAsia" w:ascii="仿宋_GB2312" w:hAnsi="仿宋_GB2312" w:eastAsia="仿宋_GB2312" w:cs="仿宋_GB2312"/>
          <w:b w:val="0"/>
          <w:bCs w:val="0"/>
          <w:color w:val="auto"/>
          <w:sz w:val="32"/>
          <w:szCs w:val="32"/>
          <w:lang w:val="en-US" w:eastAsia="zh-CN"/>
        </w:rPr>
        <w:t>落实安全生产主体责任不到位，高处作业安全管理不到位，</w:t>
      </w:r>
      <w:r>
        <w:rPr>
          <w:rFonts w:hint="eastAsia" w:ascii="仿宋" w:hAnsi="仿宋" w:eastAsia="仿宋" w:cs="仿宋"/>
          <w:bCs/>
          <w:color w:val="auto"/>
          <w:kern w:val="2"/>
          <w:sz w:val="32"/>
          <w:szCs w:val="32"/>
          <w:highlight w:val="none"/>
          <w:lang w:val="en-US" w:eastAsia="zh-CN" w:bidi="ar-SA"/>
        </w:rPr>
        <w:t>未及时排查、消除生产</w:t>
      </w:r>
      <w:r>
        <w:rPr>
          <w:rFonts w:hint="eastAsia" w:ascii="仿宋" w:hAnsi="仿宋" w:eastAsia="仿宋" w:cs="仿宋"/>
          <w:bCs/>
          <w:kern w:val="2"/>
          <w:sz w:val="32"/>
          <w:szCs w:val="32"/>
          <w:highlight w:val="none"/>
          <w:lang w:val="en-US" w:eastAsia="zh-CN" w:bidi="ar-SA"/>
        </w:rPr>
        <w:t>安全事故隐患</w:t>
      </w:r>
      <w:r>
        <w:rPr>
          <w:rFonts w:hint="eastAsia" w:ascii="仿宋" w:hAnsi="仿宋" w:eastAsia="仿宋" w:cs="仿宋"/>
          <w:bCs/>
          <w:sz w:val="32"/>
          <w:szCs w:val="32"/>
          <w:highlight w:val="none"/>
          <w:lang w:val="en-US" w:eastAsia="zh-CN"/>
        </w:rPr>
        <w:t>，</w:t>
      </w:r>
      <w:r>
        <w:rPr>
          <w:rFonts w:hint="eastAsia" w:ascii="仿宋" w:hAnsi="仿宋" w:eastAsia="仿宋" w:cs="仿宋"/>
          <w:bCs/>
          <w:kern w:val="2"/>
          <w:sz w:val="32"/>
          <w:szCs w:val="32"/>
          <w:highlight w:val="none"/>
          <w:lang w:val="en-US" w:eastAsia="zh-CN" w:bidi="ar-SA"/>
        </w:rPr>
        <w:t>违反了《中华人民共和国安全生产法》第四条第一款</w:t>
      </w:r>
      <w:r>
        <w:rPr>
          <w:rStyle w:val="17"/>
          <w:rFonts w:hint="eastAsia" w:ascii="仿宋" w:hAnsi="仿宋" w:eastAsia="仿宋" w:cs="仿宋"/>
          <w:bCs/>
          <w:kern w:val="2"/>
          <w:sz w:val="32"/>
          <w:szCs w:val="32"/>
          <w:highlight w:val="none"/>
          <w:lang w:val="en-US" w:eastAsia="zh-CN" w:bidi="ar-SA"/>
        </w:rPr>
        <w:t>[</w:t>
      </w:r>
      <w:r>
        <w:rPr>
          <w:rStyle w:val="17"/>
          <w:rFonts w:hint="eastAsia" w:ascii="仿宋" w:hAnsi="仿宋" w:eastAsia="仿宋" w:cs="仿宋"/>
          <w:bCs/>
          <w:kern w:val="2"/>
          <w:sz w:val="32"/>
          <w:szCs w:val="32"/>
          <w:highlight w:val="none"/>
          <w:lang w:val="en-US" w:eastAsia="zh-CN" w:bidi="ar-SA"/>
        </w:rPr>
        <w:footnoteReference w:id="15"/>
      </w:r>
      <w:r>
        <w:rPr>
          <w:rStyle w:val="17"/>
          <w:rFonts w:hint="eastAsia" w:ascii="仿宋" w:hAnsi="仿宋" w:eastAsia="仿宋" w:cs="仿宋"/>
          <w:bCs/>
          <w:kern w:val="2"/>
          <w:sz w:val="32"/>
          <w:szCs w:val="32"/>
          <w:highlight w:val="none"/>
          <w:lang w:val="en-US" w:eastAsia="zh-CN" w:bidi="ar-SA"/>
        </w:rPr>
        <w:t>]</w:t>
      </w:r>
      <w:r>
        <w:rPr>
          <w:rFonts w:hint="eastAsia" w:ascii="仿宋" w:hAnsi="仿宋" w:eastAsia="仿宋" w:cs="仿宋"/>
          <w:bCs/>
          <w:kern w:val="2"/>
          <w:sz w:val="32"/>
          <w:szCs w:val="32"/>
          <w:highlight w:val="none"/>
          <w:lang w:val="en-US" w:eastAsia="zh-CN" w:bidi="ar-SA"/>
        </w:rPr>
        <w:t>，</w:t>
      </w:r>
      <w:r>
        <w:rPr>
          <w:rFonts w:hint="eastAsia" w:ascii="仿宋" w:hAnsi="仿宋" w:eastAsia="仿宋" w:cs="仿宋"/>
          <w:sz w:val="32"/>
          <w:szCs w:val="32"/>
          <w:lang w:val="en-US" w:eastAsia="zh-CN"/>
        </w:rPr>
        <w:t>对事故发生负有责任，</w:t>
      </w:r>
      <w:r>
        <w:rPr>
          <w:rFonts w:hint="eastAsia" w:ascii="仿宋" w:hAnsi="仿宋" w:eastAsia="仿宋" w:cs="仿宋"/>
          <w:bCs/>
          <w:kern w:val="2"/>
          <w:sz w:val="32"/>
          <w:szCs w:val="32"/>
          <w:highlight w:val="none"/>
          <w:lang w:val="en-US" w:eastAsia="zh-CN" w:bidi="ar-SA"/>
        </w:rPr>
        <w:t>依据《中华人民共和国安全生产法》第一百一十四条第一款第（一）项</w:t>
      </w:r>
      <w:r>
        <w:rPr>
          <w:rStyle w:val="17"/>
          <w:rFonts w:hint="eastAsia" w:ascii="仿宋" w:hAnsi="仿宋" w:eastAsia="仿宋" w:cs="仿宋"/>
          <w:bCs/>
          <w:kern w:val="2"/>
          <w:sz w:val="32"/>
          <w:szCs w:val="32"/>
          <w:highlight w:val="none"/>
          <w:lang w:val="en-US" w:eastAsia="zh-CN" w:bidi="ar-SA"/>
        </w:rPr>
        <w:t>[</w:t>
      </w:r>
      <w:r>
        <w:rPr>
          <w:rStyle w:val="17"/>
          <w:rFonts w:hint="eastAsia" w:ascii="仿宋" w:hAnsi="仿宋" w:eastAsia="仿宋" w:cs="仿宋"/>
          <w:bCs/>
          <w:kern w:val="2"/>
          <w:sz w:val="32"/>
          <w:szCs w:val="32"/>
          <w:highlight w:val="none"/>
          <w:lang w:val="en-US" w:eastAsia="zh-CN" w:bidi="ar-SA"/>
        </w:rPr>
        <w:footnoteReference w:id="16"/>
      </w:r>
      <w:r>
        <w:rPr>
          <w:rStyle w:val="17"/>
          <w:rFonts w:hint="eastAsia" w:ascii="仿宋" w:hAnsi="仿宋" w:eastAsia="仿宋" w:cs="仿宋"/>
          <w:bCs/>
          <w:kern w:val="2"/>
          <w:sz w:val="32"/>
          <w:szCs w:val="32"/>
          <w:highlight w:val="none"/>
          <w:lang w:val="en-US" w:eastAsia="zh-CN" w:bidi="ar-SA"/>
        </w:rPr>
        <w:t>]</w:t>
      </w:r>
      <w:r>
        <w:rPr>
          <w:rFonts w:hint="eastAsia" w:ascii="仿宋" w:hAnsi="仿宋" w:eastAsia="仿宋" w:cs="仿宋"/>
          <w:bCs/>
          <w:kern w:val="2"/>
          <w:sz w:val="32"/>
          <w:szCs w:val="32"/>
          <w:highlight w:val="none"/>
          <w:lang w:val="en-US" w:eastAsia="zh-CN" w:bidi="ar-SA"/>
        </w:rPr>
        <w:t>，《生产安全事故罚款处罚规定》第十四条第（二）项</w:t>
      </w:r>
      <w:r>
        <w:rPr>
          <w:rFonts w:hint="eastAsia" w:ascii="仿宋" w:hAnsi="仿宋" w:eastAsia="仿宋" w:cs="仿宋"/>
          <w:bCs/>
          <w:kern w:val="2"/>
          <w:sz w:val="32"/>
          <w:szCs w:val="32"/>
          <w:highlight w:val="none"/>
          <w:vertAlign w:val="superscript"/>
          <w:lang w:val="en-US" w:eastAsia="zh-CN" w:bidi="ar-SA"/>
        </w:rPr>
        <w:t>[</w:t>
      </w:r>
      <w:r>
        <w:rPr>
          <w:rFonts w:hint="eastAsia" w:ascii="仿宋" w:hAnsi="仿宋" w:eastAsia="仿宋" w:cs="仿宋"/>
          <w:bCs/>
          <w:kern w:val="2"/>
          <w:sz w:val="32"/>
          <w:szCs w:val="32"/>
          <w:highlight w:val="none"/>
          <w:vertAlign w:val="superscript"/>
          <w:lang w:val="en-US" w:eastAsia="zh-CN" w:bidi="ar-SA"/>
        </w:rPr>
        <w:footnoteReference w:id="17"/>
      </w:r>
      <w:r>
        <w:rPr>
          <w:rFonts w:hint="eastAsia" w:ascii="仿宋" w:hAnsi="仿宋" w:eastAsia="仿宋" w:cs="仿宋"/>
          <w:bCs/>
          <w:kern w:val="2"/>
          <w:sz w:val="32"/>
          <w:szCs w:val="32"/>
          <w:highlight w:val="none"/>
          <w:vertAlign w:val="superscript"/>
          <w:lang w:val="en-US" w:eastAsia="zh-CN" w:bidi="ar-SA"/>
        </w:rPr>
        <w:t>]</w:t>
      </w:r>
      <w:r>
        <w:rPr>
          <w:rFonts w:hint="eastAsia" w:ascii="仿宋" w:hAnsi="仿宋" w:eastAsia="仿宋" w:cs="仿宋"/>
          <w:bCs/>
          <w:kern w:val="2"/>
          <w:sz w:val="32"/>
          <w:szCs w:val="32"/>
          <w:highlight w:val="none"/>
          <w:lang w:val="en-US" w:eastAsia="zh-CN" w:bidi="ar-SA"/>
        </w:rPr>
        <w:t>，</w:t>
      </w:r>
      <w:r>
        <w:rPr>
          <w:rFonts w:hint="eastAsia" w:ascii="仿宋" w:hAnsi="仿宋" w:eastAsia="仿宋" w:cs="仿宋"/>
          <w:bCs/>
          <w:color w:val="000000"/>
          <w:sz w:val="32"/>
          <w:szCs w:val="32"/>
          <w:highlight w:val="none"/>
          <w:lang w:eastAsia="zh-CN"/>
        </w:rPr>
        <w:t>建议由市应急局对该单位</w:t>
      </w:r>
      <w:r>
        <w:rPr>
          <w:rFonts w:hint="eastAsia" w:ascii="仿宋" w:hAnsi="仿宋" w:eastAsia="仿宋" w:cs="仿宋"/>
          <w:bCs/>
          <w:sz w:val="32"/>
          <w:szCs w:val="32"/>
          <w:lang w:eastAsia="zh-CN"/>
        </w:rPr>
        <w:t>行政处罚</w:t>
      </w:r>
      <w:r>
        <w:rPr>
          <w:rFonts w:hint="eastAsia" w:ascii="仿宋" w:hAnsi="仿宋" w:eastAsia="仿宋" w:cs="仿宋"/>
          <w:bCs/>
          <w:sz w:val="32"/>
          <w:szCs w:val="32"/>
          <w:lang w:val="en-US" w:eastAsia="zh-CN"/>
        </w:rPr>
        <w:t>。</w:t>
      </w:r>
    </w:p>
    <w:p w14:paraId="43F288E8">
      <w:pPr>
        <w:ind w:firstLine="640" w:firstLineChars="200"/>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在事故发生后，对事故瞒报，</w:t>
      </w:r>
      <w:r>
        <w:rPr>
          <w:rFonts w:hint="eastAsia" w:ascii="仿宋" w:hAnsi="仿宋" w:eastAsia="仿宋" w:cs="仿宋"/>
          <w:bCs/>
          <w:sz w:val="32"/>
          <w:szCs w:val="32"/>
          <w:highlight w:val="none"/>
          <w:lang w:val="en-US" w:eastAsia="zh-CN"/>
        </w:rPr>
        <w:t>违反了《中华人民共和国安全生产法》第八十三条</w:t>
      </w:r>
      <w:r>
        <w:rPr>
          <w:rFonts w:hint="eastAsia" w:ascii="仿宋" w:hAnsi="仿宋" w:eastAsia="仿宋" w:cs="仿宋"/>
          <w:bCs/>
          <w:sz w:val="32"/>
          <w:szCs w:val="32"/>
          <w:lang w:val="en-US" w:eastAsia="zh-CN"/>
        </w:rPr>
        <w:t>，依据《生产安全事故报告和调查处理条例》第三十六条第（一）项、</w:t>
      </w:r>
      <w:r>
        <w:rPr>
          <w:rFonts w:hint="eastAsia" w:ascii="仿宋_GB2312" w:hAnsi="仿宋_GB2312" w:eastAsia="仿宋_GB2312" w:cs="仿宋_GB2312"/>
          <w:b w:val="0"/>
          <w:bCs w:val="0"/>
          <w:sz w:val="32"/>
          <w:szCs w:val="32"/>
          <w:highlight w:val="none"/>
          <w:lang w:val="en-US" w:eastAsia="zh-CN"/>
        </w:rPr>
        <w:t>《应急管理行政处罚裁量权基准》裁量细则第93项A档</w:t>
      </w:r>
      <w:r>
        <w:rPr>
          <w:rStyle w:val="17"/>
          <w:rFonts w:hint="eastAsia" w:ascii="仿宋_GB2312" w:hAnsi="仿宋_GB2312" w:eastAsia="仿宋_GB2312" w:cs="仿宋_GB2312"/>
          <w:b w:val="0"/>
          <w:bCs w:val="0"/>
          <w:sz w:val="32"/>
          <w:szCs w:val="32"/>
          <w:highlight w:val="none"/>
          <w:lang w:val="en-US" w:eastAsia="zh-CN"/>
        </w:rPr>
        <w:t>[</w:t>
      </w:r>
      <w:r>
        <w:rPr>
          <w:rStyle w:val="17"/>
          <w:rFonts w:hint="eastAsia" w:ascii="仿宋_GB2312" w:hAnsi="仿宋_GB2312" w:eastAsia="仿宋_GB2312" w:cs="仿宋_GB2312"/>
          <w:b w:val="0"/>
          <w:bCs w:val="0"/>
          <w:sz w:val="32"/>
          <w:szCs w:val="32"/>
          <w:highlight w:val="none"/>
          <w:lang w:val="en-US" w:eastAsia="zh-CN"/>
        </w:rPr>
        <w:footnoteReference w:id="18"/>
      </w:r>
      <w:r>
        <w:rPr>
          <w:rStyle w:val="17"/>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w:t>
      </w:r>
      <w:r>
        <w:rPr>
          <w:rFonts w:hint="eastAsia" w:ascii="仿宋" w:hAnsi="仿宋" w:eastAsia="仿宋" w:cs="仿宋"/>
          <w:bCs/>
          <w:sz w:val="32"/>
          <w:szCs w:val="32"/>
          <w:lang w:val="en-US" w:eastAsia="zh-CN"/>
        </w:rPr>
        <w:t>建议由市应急局对该单位</w:t>
      </w:r>
      <w:r>
        <w:rPr>
          <w:rFonts w:hint="eastAsia" w:ascii="仿宋" w:hAnsi="仿宋" w:eastAsia="仿宋" w:cs="仿宋"/>
          <w:bCs/>
          <w:sz w:val="32"/>
          <w:szCs w:val="32"/>
          <w:lang w:eastAsia="zh-CN"/>
        </w:rPr>
        <w:t>行政处罚</w:t>
      </w:r>
      <w:r>
        <w:rPr>
          <w:rFonts w:hint="eastAsia" w:ascii="仿宋" w:hAnsi="仿宋" w:eastAsia="仿宋" w:cs="仿宋"/>
          <w:bCs/>
          <w:sz w:val="32"/>
          <w:szCs w:val="32"/>
          <w:lang w:val="en-US" w:eastAsia="zh-CN"/>
        </w:rPr>
        <w:t>。</w:t>
      </w:r>
    </w:p>
    <w:p w14:paraId="16CDD6DD">
      <w:pPr>
        <w:ind w:firstLine="640" w:firstLineChars="200"/>
        <w:rPr>
          <w:rFonts w:hint="eastAsia" w:ascii="楷体_GB2312" w:hAnsi="楷体_GB2312" w:eastAsia="楷体_GB2312" w:cs="楷体_GB2312"/>
          <w:b/>
          <w:kern w:val="1"/>
          <w:sz w:val="32"/>
          <w:szCs w:val="32"/>
          <w:lang w:val="en-US" w:eastAsia="zh-CN"/>
        </w:rPr>
      </w:pPr>
      <w:r>
        <w:rPr>
          <w:rFonts w:hint="eastAsia" w:ascii="仿宋" w:hAnsi="仿宋" w:eastAsia="仿宋" w:cs="仿宋"/>
          <w:bCs/>
          <w:sz w:val="32"/>
          <w:szCs w:val="32"/>
          <w:lang w:val="en-US" w:eastAsia="zh-CN"/>
        </w:rPr>
        <w:t>即建议市应急局对该单位上述违法行为合并行政处罚。</w:t>
      </w:r>
    </w:p>
    <w:p w14:paraId="2DD066D6">
      <w:pPr>
        <w:keepNext w:val="0"/>
        <w:keepLines w:val="0"/>
        <w:pageBreakBefore w:val="0"/>
        <w:widowControl w:val="0"/>
        <w:kinsoku/>
        <w:wordWrap/>
        <w:overflowPunct/>
        <w:topLinePunct w:val="0"/>
        <w:autoSpaceDE/>
        <w:autoSpaceDN/>
        <w:bidi w:val="0"/>
        <w:adjustRightInd/>
        <w:spacing w:line="560" w:lineRule="exact"/>
        <w:ind w:firstLine="643" w:firstLineChars="0"/>
        <w:textAlignment w:val="auto"/>
        <w:outlineLvl w:val="1"/>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val="0"/>
          <w:color w:val="000000"/>
          <w:sz w:val="32"/>
          <w:szCs w:val="32"/>
          <w:lang w:eastAsia="zh-CN"/>
        </w:rPr>
        <w:t>（</w:t>
      </w:r>
      <w:r>
        <w:rPr>
          <w:rFonts w:hint="eastAsia" w:ascii="楷体_GB2312" w:hAnsi="楷体_GB2312" w:eastAsia="楷体_GB2312" w:cs="楷体_GB2312"/>
          <w:b/>
          <w:bCs w:val="0"/>
          <w:color w:val="000000"/>
          <w:sz w:val="32"/>
          <w:szCs w:val="32"/>
          <w:lang w:val="en-US" w:eastAsia="zh-CN"/>
        </w:rPr>
        <w:t>三</w:t>
      </w:r>
      <w:r>
        <w:rPr>
          <w:rFonts w:hint="eastAsia" w:ascii="楷体_GB2312" w:hAnsi="楷体_GB2312" w:eastAsia="楷体_GB2312" w:cs="楷体_GB2312"/>
          <w:b/>
          <w:bCs w:val="0"/>
          <w:color w:val="000000"/>
          <w:sz w:val="32"/>
          <w:szCs w:val="32"/>
          <w:lang w:eastAsia="zh-CN"/>
        </w:rPr>
        <w:t>）有关单位的处理建议</w:t>
      </w:r>
    </w:p>
    <w:p w14:paraId="3521A9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shd w:val="clear" w:color="auto" w:fill="FFFFFF"/>
        </w:rPr>
      </w:pPr>
      <w:r>
        <w:rPr>
          <w:rFonts w:hint="eastAsia" w:ascii="仿宋_GB2312" w:hAnsi="仿宋_GB2312" w:eastAsia="仿宋_GB2312" w:cs="仿宋_GB2312"/>
          <w:b w:val="0"/>
          <w:bCs w:val="0"/>
          <w:color w:val="auto"/>
          <w:kern w:val="2"/>
          <w:sz w:val="32"/>
          <w:szCs w:val="32"/>
          <w:highlight w:val="none"/>
          <w:lang w:val="en-US" w:eastAsia="zh-CN" w:bidi="ar-SA"/>
        </w:rPr>
        <w:t>抚顺特钢公司</w:t>
      </w:r>
      <w:r>
        <w:rPr>
          <w:rFonts w:hint="eastAsia" w:ascii="仿宋_GB2312" w:hAnsi="仿宋_GB2312" w:eastAsia="仿宋_GB2312" w:cs="仿宋_GB2312"/>
          <w:b w:val="0"/>
          <w:bCs w:val="0"/>
          <w:color w:val="auto"/>
          <w:sz w:val="32"/>
          <w:szCs w:val="32"/>
          <w:highlight w:val="none"/>
          <w:lang w:val="en-US" w:eastAsia="zh-CN"/>
        </w:rPr>
        <w:t>对辽宁龙宇建设公司安全生产统一协调管理不到位，对</w:t>
      </w:r>
      <w:r>
        <w:rPr>
          <w:rFonts w:hint="eastAsia" w:ascii="仿宋_GB2312" w:hAnsi="仿宋_GB2312" w:eastAsia="仿宋_GB2312" w:cs="仿宋_GB2312"/>
          <w:color w:val="auto"/>
          <w:sz w:val="32"/>
          <w:szCs w:val="32"/>
          <w:highlight w:val="none"/>
          <w:lang w:val="en-US" w:eastAsia="zh-CN"/>
        </w:rPr>
        <w:t>辽宁龙宇建设公司项目经理</w:t>
      </w:r>
      <w:r>
        <w:rPr>
          <w:rFonts w:hint="eastAsia" w:ascii="仿宋_GB2312" w:hAnsi="仿宋_GB2312" w:eastAsia="仿宋_GB2312" w:cs="仿宋_GB2312"/>
          <w:b w:val="0"/>
          <w:bCs w:val="0"/>
          <w:color w:val="auto"/>
          <w:sz w:val="32"/>
          <w:szCs w:val="32"/>
          <w:highlight w:val="none"/>
          <w:lang w:val="en-US" w:eastAsia="zh-CN"/>
        </w:rPr>
        <w:t>未在现场履职、高处作业管理不到位失管失察，</w:t>
      </w:r>
      <w:r>
        <w:rPr>
          <w:rFonts w:hint="eastAsia" w:ascii="仿宋" w:hAnsi="仿宋" w:eastAsia="仿宋" w:cs="仿宋"/>
          <w:bCs/>
          <w:color w:val="000000"/>
          <w:sz w:val="32"/>
          <w:szCs w:val="32"/>
          <w:lang w:val="en-US" w:eastAsia="zh-CN"/>
        </w:rPr>
        <w:t>违反了《中华人民共和国安全生产法》第四十九条第二款，依据《中华人民共和国安全生产法》第一百零三条第二款、</w:t>
      </w:r>
      <w:r>
        <w:rPr>
          <w:rFonts w:hint="eastAsia" w:ascii="仿宋_GB2312" w:hAnsi="仿宋_GB2312" w:eastAsia="仿宋_GB2312" w:cs="仿宋_GB2312"/>
          <w:b w:val="0"/>
          <w:bCs w:val="0"/>
          <w:sz w:val="32"/>
          <w:szCs w:val="32"/>
          <w:highlight w:val="none"/>
          <w:lang w:val="en-US" w:eastAsia="zh-CN"/>
        </w:rPr>
        <w:t>《应急管理行政处罚裁量权基准》裁量细则第58项B档</w:t>
      </w:r>
      <w:r>
        <w:rPr>
          <w:rFonts w:hint="eastAsia" w:ascii="仿宋" w:hAnsi="仿宋" w:eastAsia="仿宋" w:cs="仿宋"/>
          <w:bCs/>
          <w:color w:val="000000"/>
          <w:sz w:val="32"/>
          <w:szCs w:val="32"/>
          <w:lang w:val="en-US" w:eastAsia="zh-CN"/>
        </w:rPr>
        <w:t>，</w:t>
      </w:r>
      <w:r>
        <w:rPr>
          <w:rFonts w:hint="eastAsia" w:ascii="仿宋" w:hAnsi="仿宋" w:eastAsia="仿宋" w:cs="仿宋"/>
          <w:bCs/>
          <w:color w:val="auto"/>
          <w:sz w:val="32"/>
          <w:szCs w:val="32"/>
          <w:lang w:val="en-US" w:eastAsia="zh-CN"/>
        </w:rPr>
        <w:t>建议</w:t>
      </w:r>
      <w:r>
        <w:rPr>
          <w:rFonts w:hint="eastAsia" w:ascii="仿宋" w:hAnsi="仿宋" w:eastAsia="仿宋" w:cs="仿宋"/>
          <w:color w:val="auto"/>
          <w:sz w:val="32"/>
          <w:szCs w:val="32"/>
          <w:lang w:val="en-US" w:eastAsia="zh-CN"/>
        </w:rPr>
        <w:t>由市应</w:t>
      </w:r>
      <w:r>
        <w:rPr>
          <w:rFonts w:hint="eastAsia" w:ascii="仿宋" w:hAnsi="仿宋" w:eastAsia="仿宋" w:cs="仿宋"/>
          <w:color w:val="000000"/>
          <w:sz w:val="32"/>
          <w:szCs w:val="32"/>
          <w:lang w:val="en-US" w:eastAsia="zh-CN"/>
        </w:rPr>
        <w:t>急局</w:t>
      </w:r>
      <w:r>
        <w:rPr>
          <w:rFonts w:hint="eastAsia" w:ascii="仿宋" w:hAnsi="仿宋" w:eastAsia="仿宋" w:cs="仿宋"/>
          <w:bCs/>
          <w:color w:val="000000"/>
          <w:sz w:val="32"/>
          <w:szCs w:val="32"/>
          <w:lang w:val="en-US" w:eastAsia="zh-CN"/>
        </w:rPr>
        <w:t>责令限期改正、</w:t>
      </w:r>
      <w:r>
        <w:rPr>
          <w:rFonts w:hint="eastAsia" w:ascii="仿宋" w:hAnsi="仿宋" w:eastAsia="仿宋" w:cs="仿宋"/>
          <w:bCs/>
          <w:color w:val="000000"/>
          <w:sz w:val="32"/>
          <w:szCs w:val="32"/>
          <w:highlight w:val="none"/>
          <w:lang w:eastAsia="zh-CN"/>
        </w:rPr>
        <w:t>对该单位</w:t>
      </w:r>
      <w:bookmarkStart w:id="0" w:name="_GoBack"/>
      <w:bookmarkEnd w:id="0"/>
      <w:r>
        <w:rPr>
          <w:rFonts w:hint="eastAsia" w:ascii="仿宋" w:hAnsi="仿宋" w:eastAsia="仿宋" w:cs="仿宋"/>
          <w:bCs/>
          <w:sz w:val="32"/>
          <w:szCs w:val="32"/>
          <w:lang w:eastAsia="zh-CN"/>
        </w:rPr>
        <w:t>行政处罚</w:t>
      </w:r>
      <w:r>
        <w:rPr>
          <w:rFonts w:hint="eastAsia" w:ascii="仿宋" w:hAnsi="仿宋" w:eastAsia="仿宋" w:cs="仿宋"/>
          <w:bCs/>
          <w:sz w:val="32"/>
          <w:szCs w:val="32"/>
          <w:lang w:val="en-US" w:eastAsia="zh-CN"/>
        </w:rPr>
        <w:t>。</w:t>
      </w:r>
    </w:p>
    <w:p w14:paraId="12FA2980">
      <w:pPr>
        <w:ind w:firstLine="640" w:firstLineChars="200"/>
        <w:outlineLvl w:val="0"/>
        <w:rPr>
          <w:rFonts w:hint="default" w:ascii="仿宋" w:hAnsi="仿宋" w:eastAsia="仿宋" w:cs="仿宋"/>
          <w:bCs/>
          <w:sz w:val="32"/>
          <w:szCs w:val="32"/>
          <w:highlight w:val="none"/>
          <w:lang w:val="en-US" w:eastAsia="zh-CN"/>
        </w:rPr>
      </w:pPr>
      <w:r>
        <w:rPr>
          <w:rFonts w:hint="eastAsia" w:ascii="黑体" w:hAnsi="黑体" w:eastAsia="黑体" w:cs="黑体"/>
          <w:sz w:val="32"/>
          <w:szCs w:val="32"/>
          <w:shd w:val="clear" w:color="auto" w:fill="FFFFFF"/>
        </w:rPr>
        <w:t>六、事故</w:t>
      </w:r>
      <w:r>
        <w:rPr>
          <w:rFonts w:hint="eastAsia" w:ascii="黑体" w:hAnsi="黑体" w:eastAsia="黑体" w:cs="黑体"/>
          <w:sz w:val="32"/>
          <w:szCs w:val="32"/>
          <w:shd w:val="clear" w:color="auto" w:fill="FFFFFF"/>
          <w:lang w:eastAsia="zh-CN"/>
        </w:rPr>
        <w:t>整改及</w:t>
      </w:r>
      <w:r>
        <w:rPr>
          <w:rFonts w:hint="eastAsia" w:ascii="黑体" w:hAnsi="黑体" w:eastAsia="黑体" w:cs="黑体"/>
          <w:sz w:val="32"/>
          <w:szCs w:val="32"/>
          <w:shd w:val="clear" w:color="auto" w:fill="FFFFFF"/>
        </w:rPr>
        <w:t>防范措施</w:t>
      </w:r>
    </w:p>
    <w:p w14:paraId="7850B88D">
      <w:pPr>
        <w:keepNext w:val="0"/>
        <w:keepLines w:val="0"/>
        <w:pageBreakBefore w:val="0"/>
        <w:widowControl w:val="0"/>
        <w:kinsoku/>
        <w:wordWrap/>
        <w:overflowPunct/>
        <w:topLinePunct w:val="0"/>
        <w:autoSpaceDE/>
        <w:autoSpaceDN/>
        <w:bidi w:val="0"/>
        <w:adjustRightInd/>
        <w:spacing w:line="560" w:lineRule="exact"/>
        <w:ind w:firstLine="643" w:firstLineChars="0"/>
        <w:textAlignment w:val="auto"/>
        <w:outlineLvl w:val="1"/>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（一）辽宁龙宇建设公司</w:t>
      </w:r>
    </w:p>
    <w:p w14:paraId="0E5C63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一是要强化工程项目安全管理，严格落实安全生产主体责任，确保项目安全管理到位，要对工程项目全面排查、消除生产安全事故隐患。二是要按照规定修订全员安全生产责任制和应急预案，有效履行安全管理职责，督促员工一旦发生事故要依法依规报告。三是要强化施工作业人员安全意识，提升安全风险辨识能力，杜绝违章作业，同时提升应急处置能力。四是</w:t>
      </w:r>
      <w:r>
        <w:rPr>
          <w:rFonts w:hint="eastAsia" w:ascii="仿宋" w:hAnsi="仿宋" w:eastAsia="仿宋" w:cs="仿宋"/>
          <w:bCs/>
          <w:color w:val="auto"/>
          <w:sz w:val="32"/>
          <w:szCs w:val="32"/>
          <w:lang w:val="en-US" w:eastAsia="zh-CN"/>
        </w:rPr>
        <w:t>要禁止</w:t>
      </w:r>
      <w:r>
        <w:rPr>
          <w:rFonts w:hint="eastAsia" w:ascii="仿宋" w:hAnsi="仿宋" w:eastAsia="仿宋" w:cs="仿宋"/>
          <w:bCs/>
          <w:color w:val="auto"/>
          <w:sz w:val="32"/>
          <w:szCs w:val="32"/>
          <w:highlight w:val="none"/>
          <w:lang w:val="en-US" w:eastAsia="zh-CN"/>
        </w:rPr>
        <w:t>以“内包”形式将</w:t>
      </w:r>
      <w:r>
        <w:rPr>
          <w:rFonts w:hint="eastAsia" w:ascii="仿宋" w:hAnsi="仿宋" w:eastAsia="仿宋" w:cs="仿宋"/>
          <w:bCs/>
          <w:color w:val="auto"/>
          <w:sz w:val="32"/>
          <w:szCs w:val="32"/>
          <w:lang w:val="en-US" w:eastAsia="zh-CN"/>
        </w:rPr>
        <w:t>工程项目</w:t>
      </w:r>
      <w:r>
        <w:rPr>
          <w:rFonts w:hint="eastAsia" w:ascii="仿宋" w:hAnsi="仿宋" w:eastAsia="仿宋" w:cs="仿宋"/>
          <w:bCs/>
          <w:color w:val="auto"/>
          <w:sz w:val="32"/>
          <w:szCs w:val="32"/>
          <w:highlight w:val="none"/>
          <w:lang w:val="en-US" w:eastAsia="zh-CN"/>
        </w:rPr>
        <w:t>交由内部员工承包，</w:t>
      </w:r>
      <w:r>
        <w:rPr>
          <w:rFonts w:hint="eastAsia" w:ascii="仿宋" w:hAnsi="仿宋" w:eastAsia="仿宋" w:cs="仿宋"/>
          <w:bCs/>
          <w:sz w:val="32"/>
          <w:szCs w:val="32"/>
          <w:lang w:val="en-US" w:eastAsia="zh-CN"/>
        </w:rPr>
        <w:t>确保项目经理到场履职。</w:t>
      </w:r>
    </w:p>
    <w:p w14:paraId="141E535A">
      <w:pPr>
        <w:keepNext w:val="0"/>
        <w:keepLines w:val="0"/>
        <w:pageBreakBefore w:val="0"/>
        <w:widowControl w:val="0"/>
        <w:kinsoku/>
        <w:wordWrap/>
        <w:overflowPunct/>
        <w:topLinePunct w:val="0"/>
        <w:autoSpaceDE/>
        <w:autoSpaceDN/>
        <w:bidi w:val="0"/>
        <w:adjustRightInd/>
        <w:spacing w:line="560" w:lineRule="exact"/>
        <w:ind w:firstLine="643" w:firstLineChars="0"/>
        <w:textAlignment w:val="auto"/>
        <w:outlineLvl w:val="1"/>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（二）抚顺特钢公司</w:t>
      </w:r>
    </w:p>
    <w:p w14:paraId="66BC7A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1"/>
          <w:sz w:val="32"/>
          <w:szCs w:val="32"/>
        </w:rPr>
      </w:pPr>
      <w:r>
        <w:rPr>
          <w:rFonts w:hint="eastAsia" w:ascii="仿宋" w:hAnsi="仿宋" w:eastAsia="仿宋" w:cs="仿宋"/>
          <w:bCs/>
          <w:sz w:val="32"/>
          <w:szCs w:val="32"/>
          <w:lang w:val="en-US" w:eastAsia="zh-CN"/>
        </w:rPr>
        <w:t>要加强对外委承包单位的安全生产统一协调管理，强化对外委作业的全链条监督，对外委作业要严管、严查、严处，特别是对外委人员现场履职责情况、高处作业管理情况加强监管，严防各类生产安全事故发生。</w:t>
      </w:r>
    </w:p>
    <w:p w14:paraId="790459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kern w:val="1"/>
          <w:sz w:val="32"/>
          <w:szCs w:val="32"/>
          <w:lang w:val="en-US" w:eastAsia="zh-CN"/>
        </w:rPr>
      </w:pPr>
    </w:p>
    <w:sectPr>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2207A">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55F8D">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- 13 -</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xZIm8sBAACcAwAADgAAAGRycy9lMm9Eb2MueG1srVPNjtMwEL4j8Q6W&#10;79RpJVCJ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2J4xYHfvn+7fLj1+XnV7Ks&#10;Vi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sWSJvLAQAAnAMAAA4AAAAAAAAAAQAgAAAAHgEAAGRycy9lMm9E&#10;b2MueG1sUEsFBgAAAAAGAAYAWQEAAFsFAAAAAA==&#10;">
              <v:fill on="f" focussize="0,0"/>
              <v:stroke on="f"/>
              <v:imagedata o:title=""/>
              <o:lock v:ext="edit" aspectratio="f"/>
              <v:textbox inset="0mm,0mm,0mm,0mm" style="mso-fit-shape-to-text:t;">
                <w:txbxContent>
                  <w:p w14:paraId="78355F8D">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- 13 -</w:t>
                    </w:r>
                    <w:r>
                      <w:rPr>
                        <w:rFonts w:hint="eastAsia"/>
                      </w:rPr>
                      <w:fldChar w:fldCharType="end"/>
                    </w:r>
                  </w:p>
                </w:txbxContent>
              </v:textbox>
            </v:shape>
          </w:pict>
        </mc:Fallback>
      </mc:AlternateContent>
    </w:r>
  </w:p>
  <w:p w14:paraId="6A7CF13C">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8">
    <w:p>
      <w:r>
        <w:separator/>
      </w:r>
    </w:p>
  </w:footnote>
  <w:footnote w:type="continuationSeparator" w:id="39">
    <w:p>
      <w:r>
        <w:continuationSeparator/>
      </w:r>
    </w:p>
  </w:footnote>
  <w:footnote w:id="0">
    <w:p w14:paraId="07F68CB8">
      <w:pPr>
        <w:pStyle w:val="9"/>
        <w:snapToGrid w:val="0"/>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ootnoteRef/>
      </w:r>
      <w:r>
        <w:rPr>
          <w:rFonts w:hint="eastAsia" w:ascii="宋体" w:hAnsi="宋体" w:eastAsia="宋体" w:cs="宋体"/>
          <w:sz w:val="24"/>
          <w:szCs w:val="24"/>
          <w:lang w:val="en-US" w:eastAsia="zh-CN"/>
        </w:rPr>
        <w:t>]《工程承包协议书》安全生产乙方的保证条件：</w:t>
      </w:r>
      <w:r>
        <w:rPr>
          <w:rFonts w:hint="eastAsia" w:ascii="宋体" w:hAnsi="宋体" w:cs="宋体"/>
          <w:sz w:val="24"/>
          <w:szCs w:val="24"/>
          <w:lang w:val="en-US" w:eastAsia="zh-CN"/>
        </w:rPr>
        <w:t>33.</w:t>
      </w:r>
      <w:r>
        <w:rPr>
          <w:rFonts w:hint="eastAsia" w:ascii="宋体" w:hAnsi="宋体" w:eastAsia="宋体" w:cs="宋体"/>
          <w:sz w:val="24"/>
          <w:szCs w:val="24"/>
          <w:lang w:val="en-US" w:eastAsia="zh-CN"/>
        </w:rPr>
        <w:t>（3）施工现场发生安全事故必须立即向甲方报告，同时保护现场，积极抢救伤员。乙方承诺:发生死亡事故给甲方造成影响，乙方除承担全部损失（包括甲方损失）外，承担甲方罚款20万元</w:t>
      </w:r>
      <w:r>
        <w:rPr>
          <w:rFonts w:hint="eastAsia" w:ascii="宋体" w:hAnsi="宋体" w:cs="宋体"/>
          <w:sz w:val="24"/>
          <w:szCs w:val="24"/>
          <w:lang w:val="en-US" w:eastAsia="zh-CN"/>
        </w:rPr>
        <w:t>；</w:t>
      </w:r>
      <w:r>
        <w:rPr>
          <w:rFonts w:hint="eastAsia" w:ascii="宋体" w:hAnsi="宋体" w:eastAsia="宋体" w:cs="宋体"/>
          <w:color w:val="auto"/>
          <w:sz w:val="24"/>
          <w:szCs w:val="24"/>
          <w:lang w:val="en-US" w:eastAsia="zh-CN"/>
        </w:rPr>
        <w:t>发生死亡事故乙方自行处理并圆满解决（未给甲方造成影响），乙方可免于处罚，由</w:t>
      </w:r>
      <w:r>
        <w:rPr>
          <w:rFonts w:hint="eastAsia" w:ascii="宋体" w:hAnsi="宋体" w:eastAsia="宋体" w:cs="宋体"/>
          <w:sz w:val="24"/>
          <w:szCs w:val="24"/>
          <w:lang w:val="en-US" w:eastAsia="zh-CN"/>
        </w:rPr>
        <w:t>甲方负责处理所发生死亡事故，所发生的一切费用由乙方承担。</w:t>
      </w:r>
    </w:p>
  </w:footnote>
  <w:footnote w:id="1">
    <w:p w14:paraId="7A30C964">
      <w:pPr>
        <w:pStyle w:val="9"/>
        <w:snapToGrid w:val="0"/>
        <w:rPr>
          <w:rStyle w:val="17"/>
          <w:rFonts w:hint="eastAsia" w:ascii="宋体" w:hAnsi="宋体" w:eastAsia="宋体" w:cs="宋体"/>
          <w:sz w:val="24"/>
          <w:szCs w:val="24"/>
          <w:vertAlign w:val="baseline"/>
        </w:rPr>
      </w:pPr>
      <w:r>
        <w:rPr>
          <w:rStyle w:val="17"/>
          <w:rFonts w:hint="eastAsia" w:ascii="宋体" w:hAnsi="宋体" w:eastAsia="宋体" w:cs="宋体"/>
          <w:sz w:val="24"/>
          <w:szCs w:val="24"/>
          <w:vertAlign w:val="baseline"/>
        </w:rPr>
        <w:t>[</w:t>
      </w:r>
      <w:r>
        <w:rPr>
          <w:rStyle w:val="17"/>
          <w:rFonts w:hint="eastAsia" w:ascii="宋体" w:hAnsi="宋体" w:eastAsia="宋体" w:cs="宋体"/>
          <w:sz w:val="24"/>
          <w:szCs w:val="24"/>
          <w:vertAlign w:val="baseline"/>
        </w:rPr>
        <w:footnoteRef/>
      </w:r>
      <w:r>
        <w:rPr>
          <w:rStyle w:val="17"/>
          <w:rFonts w:hint="eastAsia" w:ascii="宋体" w:hAnsi="宋体" w:eastAsia="宋体" w:cs="宋体"/>
          <w:sz w:val="24"/>
          <w:szCs w:val="24"/>
          <w:vertAlign w:val="baseline"/>
        </w:rPr>
        <w:t>]《中华人民共和国安全生产法》第五十七条</w:t>
      </w:r>
      <w:r>
        <w:rPr>
          <w:rFonts w:hint="eastAsia" w:ascii="宋体" w:hAnsi="宋体" w:cs="宋体"/>
          <w:sz w:val="24"/>
          <w:szCs w:val="24"/>
          <w:vertAlign w:val="baseline"/>
          <w:lang w:val="en-US" w:eastAsia="zh-CN"/>
        </w:rPr>
        <w:t xml:space="preserve"> </w:t>
      </w:r>
      <w:r>
        <w:rPr>
          <w:rStyle w:val="17"/>
          <w:rFonts w:hint="eastAsia" w:ascii="宋体" w:hAnsi="宋体" w:eastAsia="宋体" w:cs="宋体"/>
          <w:sz w:val="24"/>
          <w:szCs w:val="24"/>
          <w:vertAlign w:val="baseline"/>
        </w:rPr>
        <w:t>从业人员在作业过程中，应当严格落实岗位安全责任，遵守本单位的安全生产规章制度和操作规程，服从管理，正确佩戴和使用劳动防护用品。</w:t>
      </w:r>
    </w:p>
  </w:footnote>
  <w:footnote w:id="2">
    <w:p w14:paraId="3B1648E3">
      <w:pPr>
        <w:pStyle w:val="9"/>
        <w:snapToGrid w:val="0"/>
        <w:rPr>
          <w:rStyle w:val="17"/>
          <w:rFonts w:hint="eastAsia" w:ascii="宋体" w:hAnsi="宋体" w:eastAsia="宋体" w:cs="宋体"/>
          <w:sz w:val="24"/>
          <w:szCs w:val="24"/>
          <w:vertAlign w:val="baseline"/>
        </w:rPr>
      </w:pPr>
      <w:r>
        <w:rPr>
          <w:rStyle w:val="17"/>
          <w:rFonts w:hint="eastAsia" w:ascii="宋体" w:hAnsi="宋体" w:eastAsia="宋体" w:cs="宋体"/>
          <w:sz w:val="24"/>
          <w:szCs w:val="24"/>
          <w:vertAlign w:val="baseline"/>
        </w:rPr>
        <w:t>[</w:t>
      </w:r>
      <w:r>
        <w:rPr>
          <w:rStyle w:val="17"/>
          <w:rFonts w:hint="eastAsia" w:ascii="宋体" w:hAnsi="宋体" w:eastAsia="宋体" w:cs="宋体"/>
          <w:sz w:val="24"/>
          <w:szCs w:val="24"/>
          <w:vertAlign w:val="baseline"/>
        </w:rPr>
        <w:footnoteRef/>
      </w:r>
      <w:r>
        <w:rPr>
          <w:rStyle w:val="17"/>
          <w:rFonts w:hint="eastAsia" w:ascii="宋体" w:hAnsi="宋体" w:eastAsia="宋体" w:cs="宋体"/>
          <w:sz w:val="24"/>
          <w:szCs w:val="24"/>
          <w:vertAlign w:val="baseline"/>
        </w:rPr>
        <w:t>] 《中华人民共和国安全生产法》第一百零七条</w:t>
      </w:r>
      <w:r>
        <w:rPr>
          <w:rFonts w:hint="eastAsia" w:ascii="宋体" w:hAnsi="宋体" w:cs="宋体"/>
          <w:sz w:val="24"/>
          <w:szCs w:val="24"/>
          <w:vertAlign w:val="baseline"/>
          <w:lang w:val="en-US" w:eastAsia="zh-CN"/>
        </w:rPr>
        <w:t xml:space="preserve"> </w:t>
      </w:r>
      <w:r>
        <w:rPr>
          <w:rStyle w:val="17"/>
          <w:rFonts w:hint="eastAsia" w:ascii="宋体" w:hAnsi="宋体" w:eastAsia="宋体" w:cs="宋体"/>
          <w:sz w:val="24"/>
          <w:szCs w:val="24"/>
          <w:vertAlign w:val="baseline"/>
        </w:rPr>
        <w:t>生产经营单位的从业人员不落实岗位安全责任，不服从管理，违反安全生产规章制度或者操作规程的，由生产经营单位给予批评教育，依照有关规章制度给予处分；构成犯罪的，依照刑法有关规定追究刑事责任。</w:t>
      </w:r>
    </w:p>
  </w:footnote>
  <w:footnote w:id="3">
    <w:p w14:paraId="50125B4E">
      <w:pPr>
        <w:pStyle w:val="9"/>
        <w:snapToGrid w:val="0"/>
      </w:pPr>
      <w:r>
        <w:rPr>
          <w:rFonts w:hint="eastAsia" w:ascii="宋体" w:hAnsi="宋体" w:eastAsia="宋体" w:cs="宋体"/>
          <w:color w:val="000000"/>
          <w:sz w:val="24"/>
          <w:szCs w:val="24"/>
        </w:rPr>
        <w:t>[</w:t>
      </w:r>
      <w:r>
        <w:rPr>
          <w:rFonts w:hint="eastAsia" w:ascii="宋体" w:hAnsi="宋体" w:eastAsia="宋体" w:cs="宋体"/>
          <w:color w:val="000000"/>
          <w:sz w:val="24"/>
          <w:szCs w:val="24"/>
        </w:rPr>
        <w:footnoteRef/>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中华人民共和国安全生产法</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第二十五条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生产经营单位的安全生产管理机构以及安全生产管理人员履行下列职责：（五）检查本单位的安全生产状况，及时排查生产安全事故隐患，提出改进安全生产管理的建议；</w:t>
      </w:r>
    </w:p>
  </w:footnote>
  <w:footnote w:id="4">
    <w:p w14:paraId="6F06BD38">
      <w:pPr>
        <w:pStyle w:val="9"/>
        <w:snapToGrid w:val="0"/>
      </w:pPr>
      <w:r>
        <w:rPr>
          <w:rFonts w:hint="eastAsia" w:ascii="宋体" w:hAnsi="宋体" w:eastAsia="宋体" w:cs="宋体"/>
          <w:color w:val="000000"/>
          <w:sz w:val="24"/>
          <w:szCs w:val="24"/>
        </w:rPr>
        <w:t>[</w:t>
      </w:r>
      <w:r>
        <w:rPr>
          <w:rFonts w:hint="eastAsia" w:ascii="宋体" w:hAnsi="宋体" w:eastAsia="宋体" w:cs="宋体"/>
          <w:color w:val="000000"/>
          <w:sz w:val="24"/>
          <w:szCs w:val="24"/>
        </w:rPr>
        <w:footnoteRef/>
      </w:r>
      <w:r>
        <w:rPr>
          <w:rFonts w:hint="eastAsia" w:ascii="宋体" w:hAnsi="宋体" w:eastAsia="宋体" w:cs="宋体"/>
          <w:color w:val="000000"/>
          <w:sz w:val="24"/>
          <w:szCs w:val="24"/>
        </w:rPr>
        <w:t>]《中华人民共和国安全生产法》第九十六条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footnote>
  <w:footnote w:id="5">
    <w:p w14:paraId="695D601F">
      <w:pPr>
        <w:pStyle w:val="9"/>
        <w:snapToGrid w:val="0"/>
      </w:pPr>
      <w:r>
        <w:rPr>
          <w:rFonts w:hint="eastAsia" w:ascii="宋体" w:hAnsi="宋体" w:eastAsia="宋体" w:cs="宋体"/>
          <w:color w:val="000000"/>
          <w:sz w:val="24"/>
          <w:szCs w:val="24"/>
        </w:rPr>
        <w:t>[</w:t>
      </w:r>
      <w:r>
        <w:rPr>
          <w:rFonts w:hint="eastAsia" w:ascii="宋体" w:hAnsi="宋体" w:eastAsia="宋体" w:cs="宋体"/>
          <w:color w:val="000000"/>
          <w:sz w:val="24"/>
          <w:szCs w:val="24"/>
        </w:rPr>
        <w:footnoteRef/>
      </w:r>
      <w:r>
        <w:rPr>
          <w:rFonts w:hint="eastAsia" w:ascii="宋体" w:hAnsi="宋体" w:eastAsia="宋体" w:cs="宋体"/>
          <w:color w:val="000000"/>
          <w:sz w:val="24"/>
          <w:szCs w:val="24"/>
        </w:rPr>
        <w:t>]《生产安全事故罚款处罚规定》第二十条</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事故发生单位其他负责人和安全生产管理人员未依法履行安全生产管理职责，导致事故发生的，依照下列规定处以罚款：（一）发生一般事故的，处上一年年收入20％至30%的罚款；</w:t>
      </w:r>
    </w:p>
  </w:footnote>
  <w:footnote w:id="6">
    <w:p w14:paraId="4EFA3E64">
      <w:pPr>
        <w:pStyle w:val="9"/>
        <w:snapToGrid w:val="0"/>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w:t>
      </w:r>
      <w:r>
        <w:rPr>
          <w:rFonts w:hint="eastAsia" w:ascii="宋体" w:hAnsi="宋体" w:cs="宋体"/>
          <w:sz w:val="24"/>
          <w:szCs w:val="24"/>
          <w:vertAlign w:val="baseline"/>
          <w:lang w:val="en-US" w:eastAsia="zh-CN"/>
        </w:rPr>
        <w:footnoteRef/>
      </w:r>
      <w:r>
        <w:rPr>
          <w:rFonts w:hint="eastAsia" w:ascii="宋体" w:hAnsi="宋体" w:cs="宋体"/>
          <w:sz w:val="24"/>
          <w:szCs w:val="24"/>
          <w:vertAlign w:val="baseline"/>
          <w:lang w:val="en-US" w:eastAsia="zh-CN"/>
        </w:rPr>
        <w:t>]《中华人民共和国安全生产法》第八十三条 生产经营单位发生生产安全事故后，事故现场有关人员应当立即报告本单位负责人。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footnote>
  <w:footnote w:id="7">
    <w:p w14:paraId="2AED4547">
      <w:pPr>
        <w:pStyle w:val="9"/>
        <w:snapToGrid w:val="0"/>
      </w:pPr>
      <w:r>
        <w:rPr>
          <w:rFonts w:hint="eastAsia" w:ascii="宋体" w:hAnsi="宋体" w:cs="宋体"/>
          <w:sz w:val="24"/>
          <w:szCs w:val="24"/>
          <w:vertAlign w:val="baseline"/>
          <w:lang w:val="en-US" w:eastAsia="zh-CN"/>
        </w:rPr>
        <w:t>[</w:t>
      </w:r>
      <w:r>
        <w:rPr>
          <w:rFonts w:hint="eastAsia" w:ascii="宋体" w:hAnsi="宋体" w:cs="宋体"/>
          <w:sz w:val="24"/>
          <w:szCs w:val="24"/>
          <w:vertAlign w:val="baseline"/>
          <w:lang w:val="en-US" w:eastAsia="zh-CN"/>
        </w:rPr>
        <w:footnoteRef/>
      </w:r>
      <w:r>
        <w:rPr>
          <w:rFonts w:hint="eastAsia" w:ascii="宋体" w:hAnsi="宋体" w:cs="宋体"/>
          <w:sz w:val="24"/>
          <w:szCs w:val="24"/>
          <w:vertAlign w:val="baseline"/>
          <w:lang w:val="en-US" w:eastAsia="zh-CN"/>
        </w:rPr>
        <w:t>]《生产安全事故报告和调查处理条例》第三十六条第（一）项 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footnote>
  <w:footnote w:id="8">
    <w:p w14:paraId="09329F3F">
      <w:pPr>
        <w:pStyle w:val="9"/>
        <w:snapToGrid w:val="0"/>
      </w:pPr>
      <w:r>
        <w:rPr>
          <w:rFonts w:hint="eastAsia" w:ascii="宋体" w:hAnsi="宋体" w:cs="宋体"/>
          <w:sz w:val="24"/>
          <w:szCs w:val="24"/>
          <w:vertAlign w:val="baseline"/>
          <w:lang w:val="en-US" w:eastAsia="zh-CN"/>
        </w:rPr>
        <w:t>[</w:t>
      </w:r>
      <w:r>
        <w:rPr>
          <w:rFonts w:hint="eastAsia" w:ascii="宋体" w:hAnsi="宋体" w:cs="宋体"/>
          <w:sz w:val="24"/>
          <w:szCs w:val="24"/>
          <w:vertAlign w:val="baseline"/>
          <w:lang w:val="en-US" w:eastAsia="zh-CN"/>
        </w:rPr>
        <w:footnoteRef/>
      </w:r>
      <w:r>
        <w:rPr>
          <w:rFonts w:hint="eastAsia" w:ascii="宋体" w:hAnsi="宋体" w:cs="宋体"/>
          <w:sz w:val="24"/>
          <w:szCs w:val="24"/>
          <w:vertAlign w:val="baseline"/>
          <w:lang w:val="en-US" w:eastAsia="zh-CN"/>
        </w:rPr>
        <w:t>]《应急管理行</w:t>
      </w:r>
      <w:r>
        <w:rPr>
          <w:rStyle w:val="17"/>
          <w:rFonts w:hint="eastAsia" w:ascii="宋体" w:hAnsi="宋体" w:eastAsia="宋体" w:cs="宋体"/>
          <w:sz w:val="24"/>
          <w:szCs w:val="24"/>
          <w:vertAlign w:val="baseline"/>
          <w:lang w:val="en-US" w:eastAsia="zh-CN"/>
        </w:rPr>
        <w:t>政处罚裁量权基准》裁量细则第89项B档 隐瞒不报、谎报生产安全事故的</w:t>
      </w:r>
      <w:r>
        <w:rPr>
          <w:rFonts w:hint="eastAsia" w:ascii="宋体" w:hAnsi="宋体" w:cs="宋体"/>
          <w:sz w:val="24"/>
          <w:szCs w:val="24"/>
          <w:vertAlign w:val="baseline"/>
          <w:lang w:val="en-US" w:eastAsia="zh-CN"/>
        </w:rPr>
        <w:t>，处上一年年收入70%以上80%以下的罚款。</w:t>
      </w:r>
    </w:p>
  </w:footnote>
  <w:footnote w:id="9">
    <w:p w14:paraId="2821E89D">
      <w:pPr>
        <w:pStyle w:val="9"/>
        <w:snapToGrid w:val="0"/>
        <w:rPr>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rPr>
        <w:t>[</w:t>
      </w:r>
      <w:r>
        <w:rPr>
          <w:rStyle w:val="17"/>
          <w:rFonts w:hint="eastAsia" w:ascii="宋体" w:hAnsi="宋体" w:eastAsia="宋体" w:cs="宋体"/>
          <w:sz w:val="24"/>
          <w:szCs w:val="24"/>
          <w:vertAlign w:val="baseline"/>
        </w:rPr>
        <w:footnoteRef/>
      </w:r>
      <w:r>
        <w:rPr>
          <w:rStyle w:val="17"/>
          <w:rFonts w:hint="eastAsia" w:ascii="宋体" w:hAnsi="宋体" w:eastAsia="宋体" w:cs="宋体"/>
          <w:sz w:val="24"/>
          <w:szCs w:val="24"/>
          <w:vertAlign w:val="baseline"/>
        </w:rPr>
        <w:t>]</w:t>
      </w:r>
      <w:r>
        <w:rPr>
          <w:rFonts w:hint="eastAsia" w:ascii="宋体" w:hAnsi="宋体" w:eastAsia="宋体" w:cs="宋体"/>
          <w:kern w:val="2"/>
          <w:sz w:val="24"/>
          <w:szCs w:val="24"/>
          <w:vertAlign w:val="baseline"/>
          <w:lang w:val="en-US" w:eastAsia="zh-CN" w:bidi="ar-SA"/>
        </w:rPr>
        <w:t>《中华人民共和国安全生产法》</w:t>
      </w:r>
      <w:r>
        <w:rPr>
          <w:rFonts w:hint="eastAsia" w:ascii="宋体" w:hAnsi="宋体" w:eastAsia="宋体" w:cs="宋体"/>
          <w:sz w:val="24"/>
          <w:szCs w:val="24"/>
          <w:vertAlign w:val="baseline"/>
          <w:lang w:val="en-US" w:eastAsia="zh-CN"/>
        </w:rPr>
        <w:t>第二十一条 生产经营单位的主要负责人对本单位安全生产工作负有下列职责：（一）建立健全并落实本单位全员安全生产责任制，加强安全生产标准化建设；（六）组织制定并实施本单位的生产安全事故应急救援预案；</w:t>
      </w:r>
    </w:p>
  </w:footnote>
  <w:footnote w:id="10">
    <w:p w14:paraId="64FEC1E3">
      <w:pPr>
        <w:pStyle w:val="9"/>
        <w:keepNext w:val="0"/>
        <w:keepLines w:val="0"/>
        <w:pageBreakBefore w:val="0"/>
        <w:kinsoku/>
        <w:wordWrap/>
        <w:overflowPunct/>
        <w:topLinePunct w:val="0"/>
        <w:bidi w:val="0"/>
        <w:adjustRightInd/>
        <w:snapToGrid w:val="0"/>
        <w:spacing w:line="240" w:lineRule="auto"/>
        <w:textAlignment w:val="auto"/>
      </w:pPr>
      <w:r>
        <w:rPr>
          <w:rStyle w:val="17"/>
          <w:rFonts w:hint="eastAsia" w:ascii="宋体" w:hAnsi="宋体" w:eastAsia="宋体" w:cs="宋体"/>
          <w:sz w:val="24"/>
          <w:szCs w:val="24"/>
          <w:vertAlign w:val="baseline"/>
        </w:rPr>
        <w:t>[</w:t>
      </w:r>
      <w:r>
        <w:rPr>
          <w:rStyle w:val="17"/>
          <w:rFonts w:hint="eastAsia" w:ascii="宋体" w:hAnsi="宋体" w:eastAsia="宋体" w:cs="宋体"/>
          <w:sz w:val="24"/>
          <w:szCs w:val="24"/>
          <w:vertAlign w:val="baseline"/>
        </w:rPr>
        <w:footnoteRef/>
      </w:r>
      <w:r>
        <w:rPr>
          <w:rStyle w:val="17"/>
          <w:rFonts w:hint="eastAsia" w:ascii="宋体" w:hAnsi="宋体" w:eastAsia="宋体" w:cs="宋体"/>
          <w:sz w:val="24"/>
          <w:szCs w:val="24"/>
          <w:vertAlign w:val="baseline"/>
        </w:rPr>
        <w:t>]</w:t>
      </w:r>
      <w:r>
        <w:rPr>
          <w:rFonts w:hint="eastAsia" w:ascii="宋体" w:hAnsi="宋体" w:eastAsia="宋体" w:cs="宋体"/>
          <w:kern w:val="2"/>
          <w:sz w:val="24"/>
          <w:szCs w:val="24"/>
          <w:vertAlign w:val="baseline"/>
          <w:lang w:val="en-US" w:eastAsia="zh-CN" w:bidi="ar-SA"/>
        </w:rPr>
        <w:t>《中华人民共和国安全生产法》第九十五条第（一）项 生产经营单位的主要负责人未履行本法规定的安全生产管理职责，导致发生生产安全事故的，由应急管理部门依照下列规定处以罚款:（一）发生一般事故的，处上一年年收入百分之四十的罚款；</w:t>
      </w:r>
    </w:p>
  </w:footnote>
  <w:footnote w:id="11">
    <w:p w14:paraId="2FB77B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spacing w:before="0" w:beforeAutospacing="0" w:after="0" w:afterAutospacing="0" w:line="240" w:lineRule="auto"/>
        <w:ind w:right="0"/>
        <w:jc w:val="both"/>
        <w:textAlignment w:val="auto"/>
      </w:pPr>
      <w:r>
        <w:rPr>
          <w:rFonts w:hint="eastAsia" w:ascii="宋体" w:hAnsi="宋体" w:eastAsia="宋体" w:cs="宋体"/>
          <w:kern w:val="2"/>
          <w:sz w:val="24"/>
          <w:szCs w:val="24"/>
          <w:vertAlign w:val="baseline"/>
          <w:lang w:val="en-US" w:eastAsia="zh-CN" w:bidi="ar-SA"/>
        </w:rPr>
        <w:t>[</w:t>
      </w:r>
      <w:r>
        <w:rPr>
          <w:rFonts w:hint="eastAsia" w:ascii="宋体" w:hAnsi="宋体" w:eastAsia="宋体" w:cs="宋体"/>
          <w:kern w:val="2"/>
          <w:sz w:val="24"/>
          <w:szCs w:val="24"/>
          <w:vertAlign w:val="baseline"/>
          <w:lang w:val="en-US" w:eastAsia="zh-CN" w:bidi="ar-SA"/>
        </w:rPr>
        <w:footnoteRef/>
      </w:r>
      <w:r>
        <w:rPr>
          <w:rFonts w:hint="eastAsia" w:ascii="宋体" w:hAnsi="宋体" w:eastAsia="宋体" w:cs="宋体"/>
          <w:kern w:val="2"/>
          <w:sz w:val="24"/>
          <w:szCs w:val="24"/>
          <w:vertAlign w:val="baseline"/>
          <w:lang w:val="en-US" w:eastAsia="zh-CN" w:bidi="ar-SA"/>
        </w:rPr>
        <w:t>]《生产安全事故罚款处罚规定》第十九条 事故发生单位主要负责人未依法履行安全生产管理职责，导致事故发生的，依照下列规定处以罚款：（一）发生一般事故的，处上一年年收入40％的罚款；</w:t>
      </w:r>
    </w:p>
  </w:footnote>
  <w:footnote w:id="12">
    <w:p w14:paraId="49644EDE">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]《中华人民共和国安全生产法》</w:t>
      </w:r>
      <w:r>
        <w:rPr>
          <w:rFonts w:hint="eastAsia" w:ascii="宋体" w:hAnsi="宋体" w:eastAsia="宋体" w:cs="宋体"/>
          <w:sz w:val="24"/>
          <w:szCs w:val="24"/>
          <w:vertAlign w:val="baseline"/>
          <w:lang w:val="en-US" w:eastAsia="zh-CN"/>
        </w:rPr>
        <w:t xml:space="preserve">第四十九条第二款 </w:t>
      </w:r>
      <w:r>
        <w:rPr>
          <w:rStyle w:val="17"/>
          <w:rFonts w:hint="eastAsia" w:ascii="宋体" w:hAnsi="宋体" w:eastAsia="宋体" w:cs="宋体"/>
          <w:sz w:val="24"/>
          <w:szCs w:val="24"/>
          <w:vertAlign w:val="baseline"/>
          <w:lang w:val="en-US" w:eastAsia="zh-CN"/>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13">
    <w:p w14:paraId="0DF62526">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]《中华人民共和国安全生产法》第一百零三条第二款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r>
        <w:rPr>
          <w:rFonts w:hint="eastAsia" w:ascii="宋体" w:hAnsi="宋体" w:cs="宋体"/>
          <w:sz w:val="24"/>
          <w:szCs w:val="24"/>
          <w:vertAlign w:val="baseline"/>
          <w:lang w:val="en-US" w:eastAsia="zh-CN"/>
        </w:rPr>
        <w:t>；</w:t>
      </w:r>
    </w:p>
  </w:footnote>
  <w:footnote w:id="14">
    <w:p w14:paraId="15D2A63B">
      <w:pPr>
        <w:pStyle w:val="9"/>
        <w:snapToGrid w:val="0"/>
        <w:rPr>
          <w:rStyle w:val="17"/>
          <w:rFonts w:hint="default"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]《应急管理行政处罚裁量权基准》裁量细则第58项B档 生产经营单位未对承包单位、承租单位的安全生产统一协调、管理的责令限期改正，处2万元以上4万元以下的罚款，对其直接负责的主管人员和其他直接责任人员处1万元以下的罚款；逾期未改正的，责令停产停业整顿</w:t>
      </w:r>
      <w:r>
        <w:rPr>
          <w:rFonts w:hint="eastAsia" w:ascii="宋体" w:hAnsi="宋体" w:cs="宋体"/>
          <w:sz w:val="24"/>
          <w:szCs w:val="24"/>
          <w:vertAlign w:val="baseline"/>
          <w:lang w:val="en-US" w:eastAsia="zh-CN"/>
        </w:rPr>
        <w:t>；</w:t>
      </w:r>
    </w:p>
  </w:footnote>
  <w:footnote w:id="15">
    <w:p w14:paraId="23121AA8">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w:t>
      </w:r>
      <w:r>
        <w:rPr>
          <w:rFonts w:hint="eastAsia" w:ascii="宋体" w:hAnsi="宋体" w:cs="宋体"/>
          <w:sz w:val="24"/>
          <w:szCs w:val="24"/>
          <w:vertAlign w:val="baseline"/>
          <w:lang w:eastAsia="zh-CN"/>
        </w:rPr>
        <w:t>《中华人民共和国安全生产法》</w:t>
      </w:r>
      <w:r>
        <w:rPr>
          <w:rStyle w:val="17"/>
          <w:rFonts w:hint="eastAsia" w:ascii="宋体" w:hAnsi="宋体" w:eastAsia="宋体" w:cs="宋体"/>
          <w:sz w:val="24"/>
          <w:szCs w:val="24"/>
          <w:vertAlign w:val="baseline"/>
          <w:lang w:val="en-US" w:eastAsia="zh-CN"/>
        </w:rPr>
        <w:t>第四条</w:t>
      </w:r>
      <w:r>
        <w:rPr>
          <w:rFonts w:hint="eastAsia" w:ascii="宋体" w:hAnsi="宋体" w:eastAsia="宋体" w:cs="宋体"/>
          <w:sz w:val="24"/>
          <w:szCs w:val="24"/>
          <w:vertAlign w:val="baseline"/>
          <w:lang w:val="en-US" w:eastAsia="zh-CN"/>
        </w:rPr>
        <w:t xml:space="preserve"> </w:t>
      </w:r>
      <w:r>
        <w:rPr>
          <w:rStyle w:val="17"/>
          <w:rFonts w:hint="eastAsia" w:ascii="宋体" w:hAnsi="宋体" w:eastAsia="宋体" w:cs="宋体"/>
          <w:sz w:val="24"/>
          <w:szCs w:val="24"/>
          <w:vertAlign w:val="baseline"/>
          <w:lang w:val="en-US" w:eastAsia="zh-CN"/>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r>
        <w:rPr>
          <w:rFonts w:hint="eastAsia" w:ascii="宋体" w:hAnsi="宋体" w:cs="宋体"/>
          <w:sz w:val="24"/>
          <w:szCs w:val="24"/>
          <w:vertAlign w:val="baseline"/>
          <w:lang w:val="en-US" w:eastAsia="zh-CN"/>
        </w:rPr>
        <w:t>；</w:t>
      </w:r>
    </w:p>
  </w:footnote>
  <w:footnote w:id="16">
    <w:p w14:paraId="6AACA38E">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]《中华人民共和国安全生产法》第一百一十四条</w:t>
      </w:r>
      <w:r>
        <w:rPr>
          <w:rFonts w:hint="eastAsia" w:ascii="宋体" w:hAnsi="宋体" w:cs="宋体"/>
          <w:sz w:val="24"/>
          <w:szCs w:val="24"/>
          <w:vertAlign w:val="baseline"/>
          <w:lang w:val="en-US" w:eastAsia="zh-CN"/>
        </w:rPr>
        <w:t xml:space="preserve"> </w:t>
      </w:r>
      <w:r>
        <w:rPr>
          <w:rStyle w:val="17"/>
          <w:rFonts w:hint="eastAsia" w:ascii="宋体" w:hAnsi="宋体" w:eastAsia="宋体" w:cs="宋体"/>
          <w:sz w:val="24"/>
          <w:szCs w:val="24"/>
          <w:vertAlign w:val="baseline"/>
          <w:lang w:val="en-US" w:eastAsia="zh-CN"/>
        </w:rPr>
        <w:t>发生生产安全事故，对负有责任的生产经营单位除要求其依法承担相应的赔偿等责任外，由应急管理部门依照下列规定处以罚款:（一）发生一般事故的，处三十万元以上一百万元以下的罚款；</w:t>
      </w:r>
    </w:p>
  </w:footnote>
  <w:footnote w:id="17">
    <w:p w14:paraId="591AF418">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]《生产安全事故罚款处罚规定》第十四条</w:t>
      </w:r>
      <w:r>
        <w:rPr>
          <w:rFonts w:hint="eastAsia" w:ascii="宋体" w:hAnsi="宋体" w:eastAsia="宋体" w:cs="宋体"/>
          <w:sz w:val="24"/>
          <w:szCs w:val="24"/>
          <w:vertAlign w:val="baseline"/>
          <w:lang w:val="en-US" w:eastAsia="zh-CN"/>
        </w:rPr>
        <w:t xml:space="preserve"> </w:t>
      </w:r>
      <w:r>
        <w:rPr>
          <w:rStyle w:val="17"/>
          <w:rFonts w:hint="eastAsia" w:ascii="宋体" w:hAnsi="宋体" w:eastAsia="宋体" w:cs="宋体"/>
          <w:sz w:val="24"/>
          <w:szCs w:val="24"/>
          <w:vertAlign w:val="baseline"/>
          <w:lang w:val="en-US" w:eastAsia="zh-CN"/>
        </w:rPr>
        <w:t>事故发生单位对一般事故负有责任的，依照下列规定处以罚款：（二）造成1人死亡，或者3人以上6人以下重伤，或者300万元以上500万元以下直接经济损失的，处50万元以上70万元以下的罚款；</w:t>
      </w:r>
    </w:p>
  </w:footnote>
  <w:footnote w:id="18">
    <w:p w14:paraId="2ED55341">
      <w:pPr>
        <w:pStyle w:val="9"/>
        <w:snapToGrid w:val="0"/>
        <w:rPr>
          <w:rStyle w:val="17"/>
          <w:rFonts w:hint="eastAsia" w:ascii="宋体" w:hAnsi="宋体" w:eastAsia="宋体" w:cs="宋体"/>
          <w:sz w:val="24"/>
          <w:szCs w:val="24"/>
          <w:vertAlign w:val="baseline"/>
          <w:lang w:val="en-US" w:eastAsia="zh-CN"/>
        </w:rPr>
      </w:pPr>
      <w:r>
        <w:rPr>
          <w:rStyle w:val="17"/>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footnoteRef/>
      </w:r>
      <w:r>
        <w:rPr>
          <w:rStyle w:val="17"/>
          <w:rFonts w:hint="eastAsia" w:ascii="宋体" w:hAnsi="宋体" w:eastAsia="宋体" w:cs="宋体"/>
          <w:sz w:val="24"/>
          <w:szCs w:val="24"/>
          <w:vertAlign w:val="baseline"/>
          <w:lang w:val="en-US" w:eastAsia="zh-CN"/>
        </w:rPr>
        <w:t>]《应急管理行政处罚裁量权基准》裁量细则第93项A档</w:t>
      </w:r>
      <w:r>
        <w:rPr>
          <w:rFonts w:hint="eastAsia" w:ascii="宋体" w:hAnsi="宋体" w:eastAsia="宋体" w:cs="宋体"/>
          <w:sz w:val="24"/>
          <w:szCs w:val="24"/>
          <w:vertAlign w:val="baseline"/>
          <w:lang w:val="en-US" w:eastAsia="zh-CN"/>
        </w:rPr>
        <w:t>，</w:t>
      </w:r>
      <w:r>
        <w:rPr>
          <w:rStyle w:val="17"/>
          <w:rFonts w:hint="eastAsia" w:ascii="宋体" w:hAnsi="宋体" w:eastAsia="宋体" w:cs="宋体"/>
          <w:sz w:val="24"/>
          <w:szCs w:val="24"/>
          <w:vertAlign w:val="baseline"/>
          <w:lang w:val="en-US" w:eastAsia="zh-CN"/>
        </w:rPr>
        <w:t>对事故发生单位处100万元以上150万元以下的罚款；导致贻误事故抢救或者造成事故扩大或者影响事故调查或者造成重大社会影响的，对事故发生单位处300万元以上350万元以下的罚款</w:t>
      </w:r>
      <w:r>
        <w:rPr>
          <w:rFonts w:hint="eastAsia" w:ascii="宋体" w:hAnsi="宋体" w:eastAsia="宋体" w:cs="宋体"/>
          <w:sz w:val="24"/>
          <w:szCs w:val="24"/>
          <w:vertAlign w:val="baseline"/>
          <w:lang w:val="en-US"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424A8A"/>
    <w:multiLevelType w:val="singleLevel"/>
    <w:tmpl w:val="16424A8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38"/>
    <w:footnote w:id="39"/>
  </w:foot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wYmFlYzIwNjVjNmI0MjQwYmIzNTQ4NWM2NzFjYzkifQ=="/>
  </w:docVars>
  <w:rsids>
    <w:rsidRoot w:val="00172A27"/>
    <w:rsid w:val="000A6389"/>
    <w:rsid w:val="000D7C9A"/>
    <w:rsid w:val="00117B8A"/>
    <w:rsid w:val="002E6079"/>
    <w:rsid w:val="002F06E1"/>
    <w:rsid w:val="00324C98"/>
    <w:rsid w:val="00327225"/>
    <w:rsid w:val="00376471"/>
    <w:rsid w:val="00510C29"/>
    <w:rsid w:val="005844CB"/>
    <w:rsid w:val="00777101"/>
    <w:rsid w:val="007D3D93"/>
    <w:rsid w:val="007E6033"/>
    <w:rsid w:val="009A5E7B"/>
    <w:rsid w:val="009B5644"/>
    <w:rsid w:val="009F5992"/>
    <w:rsid w:val="00B2110D"/>
    <w:rsid w:val="00BD48F0"/>
    <w:rsid w:val="00BE4423"/>
    <w:rsid w:val="00BE6F88"/>
    <w:rsid w:val="00BF37EC"/>
    <w:rsid w:val="00C64509"/>
    <w:rsid w:val="00CF608E"/>
    <w:rsid w:val="00D15404"/>
    <w:rsid w:val="00D37AB3"/>
    <w:rsid w:val="00DA10B2"/>
    <w:rsid w:val="00E44B7A"/>
    <w:rsid w:val="00F51D96"/>
    <w:rsid w:val="00F56552"/>
    <w:rsid w:val="01472C93"/>
    <w:rsid w:val="016C2AC1"/>
    <w:rsid w:val="016E4000"/>
    <w:rsid w:val="01700530"/>
    <w:rsid w:val="017B364B"/>
    <w:rsid w:val="01860F86"/>
    <w:rsid w:val="0187631C"/>
    <w:rsid w:val="018E7E7F"/>
    <w:rsid w:val="01944E82"/>
    <w:rsid w:val="01A16B43"/>
    <w:rsid w:val="01AE534D"/>
    <w:rsid w:val="01AF3F06"/>
    <w:rsid w:val="01BA3C2C"/>
    <w:rsid w:val="01CA287D"/>
    <w:rsid w:val="01E72C43"/>
    <w:rsid w:val="01FF3757"/>
    <w:rsid w:val="02131F92"/>
    <w:rsid w:val="02253BF3"/>
    <w:rsid w:val="0232367C"/>
    <w:rsid w:val="024D5FFC"/>
    <w:rsid w:val="0267534A"/>
    <w:rsid w:val="027619AC"/>
    <w:rsid w:val="0278134D"/>
    <w:rsid w:val="029D3FCB"/>
    <w:rsid w:val="02C616DE"/>
    <w:rsid w:val="02DA4260"/>
    <w:rsid w:val="02DB376D"/>
    <w:rsid w:val="02F02042"/>
    <w:rsid w:val="03656C6D"/>
    <w:rsid w:val="03864D7D"/>
    <w:rsid w:val="038C2B9E"/>
    <w:rsid w:val="038C6652"/>
    <w:rsid w:val="03914CEF"/>
    <w:rsid w:val="03B22517"/>
    <w:rsid w:val="03BC05FB"/>
    <w:rsid w:val="03C13F9B"/>
    <w:rsid w:val="03CC3D1C"/>
    <w:rsid w:val="03D667FB"/>
    <w:rsid w:val="03E00811"/>
    <w:rsid w:val="03E93B9D"/>
    <w:rsid w:val="041F79E4"/>
    <w:rsid w:val="04261D51"/>
    <w:rsid w:val="045E2D39"/>
    <w:rsid w:val="04AF7B0C"/>
    <w:rsid w:val="04B429B7"/>
    <w:rsid w:val="04D06524"/>
    <w:rsid w:val="04D53ED0"/>
    <w:rsid w:val="04D81FB1"/>
    <w:rsid w:val="04E73EC8"/>
    <w:rsid w:val="04FE431C"/>
    <w:rsid w:val="050F1125"/>
    <w:rsid w:val="052E32C0"/>
    <w:rsid w:val="053F5928"/>
    <w:rsid w:val="05486B23"/>
    <w:rsid w:val="05751005"/>
    <w:rsid w:val="05A32C6F"/>
    <w:rsid w:val="05A67604"/>
    <w:rsid w:val="05BB16B5"/>
    <w:rsid w:val="05CA3413"/>
    <w:rsid w:val="05CA44E8"/>
    <w:rsid w:val="05D25A04"/>
    <w:rsid w:val="05E03A04"/>
    <w:rsid w:val="05E06070"/>
    <w:rsid w:val="05EC490E"/>
    <w:rsid w:val="06154776"/>
    <w:rsid w:val="06320837"/>
    <w:rsid w:val="064737A8"/>
    <w:rsid w:val="065349E1"/>
    <w:rsid w:val="0673612A"/>
    <w:rsid w:val="06A8463C"/>
    <w:rsid w:val="06F074F0"/>
    <w:rsid w:val="06F768B6"/>
    <w:rsid w:val="071F6AB6"/>
    <w:rsid w:val="072D11D3"/>
    <w:rsid w:val="075023E1"/>
    <w:rsid w:val="076B2AF4"/>
    <w:rsid w:val="07775CA2"/>
    <w:rsid w:val="077F6C4A"/>
    <w:rsid w:val="07B3689C"/>
    <w:rsid w:val="07C147C6"/>
    <w:rsid w:val="07DD6167"/>
    <w:rsid w:val="07DF0525"/>
    <w:rsid w:val="07F26415"/>
    <w:rsid w:val="080058C1"/>
    <w:rsid w:val="08007FEC"/>
    <w:rsid w:val="081A2B7E"/>
    <w:rsid w:val="084D23D5"/>
    <w:rsid w:val="08527CFF"/>
    <w:rsid w:val="086A64A4"/>
    <w:rsid w:val="08C23A32"/>
    <w:rsid w:val="08D800BC"/>
    <w:rsid w:val="08DA1A41"/>
    <w:rsid w:val="08E249F8"/>
    <w:rsid w:val="08F01F27"/>
    <w:rsid w:val="08F85810"/>
    <w:rsid w:val="0914221F"/>
    <w:rsid w:val="09175C96"/>
    <w:rsid w:val="091D530B"/>
    <w:rsid w:val="091E039B"/>
    <w:rsid w:val="093845E0"/>
    <w:rsid w:val="093F5493"/>
    <w:rsid w:val="09416C8B"/>
    <w:rsid w:val="094B0747"/>
    <w:rsid w:val="097E3ED4"/>
    <w:rsid w:val="098733A3"/>
    <w:rsid w:val="09A756C1"/>
    <w:rsid w:val="09C355DF"/>
    <w:rsid w:val="09C8018F"/>
    <w:rsid w:val="09D051C0"/>
    <w:rsid w:val="09D84692"/>
    <w:rsid w:val="09EA38BA"/>
    <w:rsid w:val="0A085762"/>
    <w:rsid w:val="0A0A3C3A"/>
    <w:rsid w:val="0A190E79"/>
    <w:rsid w:val="0A1A5BC2"/>
    <w:rsid w:val="0A275D5F"/>
    <w:rsid w:val="0A674FFD"/>
    <w:rsid w:val="0A680E86"/>
    <w:rsid w:val="0A93759F"/>
    <w:rsid w:val="0A9E586B"/>
    <w:rsid w:val="0AA277E2"/>
    <w:rsid w:val="0AA9276E"/>
    <w:rsid w:val="0ABC616B"/>
    <w:rsid w:val="0ACD1270"/>
    <w:rsid w:val="0ACE05D7"/>
    <w:rsid w:val="0AE3442F"/>
    <w:rsid w:val="0AF11167"/>
    <w:rsid w:val="0B2F0128"/>
    <w:rsid w:val="0B3C7DFE"/>
    <w:rsid w:val="0B452241"/>
    <w:rsid w:val="0B5F1B77"/>
    <w:rsid w:val="0B654B26"/>
    <w:rsid w:val="0B803143"/>
    <w:rsid w:val="0B93202F"/>
    <w:rsid w:val="0B977C2D"/>
    <w:rsid w:val="0B995822"/>
    <w:rsid w:val="0BB42D8C"/>
    <w:rsid w:val="0BB90906"/>
    <w:rsid w:val="0BD232F9"/>
    <w:rsid w:val="0BD7795F"/>
    <w:rsid w:val="0C01678A"/>
    <w:rsid w:val="0C0F5B83"/>
    <w:rsid w:val="0C120997"/>
    <w:rsid w:val="0C7D22B4"/>
    <w:rsid w:val="0C8C2E49"/>
    <w:rsid w:val="0C8E6342"/>
    <w:rsid w:val="0CBA1C7F"/>
    <w:rsid w:val="0CD5185F"/>
    <w:rsid w:val="0CE77440"/>
    <w:rsid w:val="0D121D43"/>
    <w:rsid w:val="0D2050F0"/>
    <w:rsid w:val="0D2B64BD"/>
    <w:rsid w:val="0D4202F9"/>
    <w:rsid w:val="0D5F08A5"/>
    <w:rsid w:val="0D766DF3"/>
    <w:rsid w:val="0D7C29DC"/>
    <w:rsid w:val="0D8117CE"/>
    <w:rsid w:val="0D8532D3"/>
    <w:rsid w:val="0D8970DA"/>
    <w:rsid w:val="0D9E4403"/>
    <w:rsid w:val="0DA27AF9"/>
    <w:rsid w:val="0DFE5A3B"/>
    <w:rsid w:val="0E362E73"/>
    <w:rsid w:val="0E5C71F5"/>
    <w:rsid w:val="0E5E57C3"/>
    <w:rsid w:val="0E615A08"/>
    <w:rsid w:val="0E736BB4"/>
    <w:rsid w:val="0E88510B"/>
    <w:rsid w:val="0E8F1E67"/>
    <w:rsid w:val="0E935B36"/>
    <w:rsid w:val="0E952A04"/>
    <w:rsid w:val="0EA343BD"/>
    <w:rsid w:val="0EC34528"/>
    <w:rsid w:val="0EEF1863"/>
    <w:rsid w:val="0EF366FB"/>
    <w:rsid w:val="0F085B89"/>
    <w:rsid w:val="0F296E49"/>
    <w:rsid w:val="0F325B32"/>
    <w:rsid w:val="0F367B09"/>
    <w:rsid w:val="0F3931EF"/>
    <w:rsid w:val="0F43569C"/>
    <w:rsid w:val="0F4E71A2"/>
    <w:rsid w:val="0F6875C3"/>
    <w:rsid w:val="0F817EE3"/>
    <w:rsid w:val="0FA57F93"/>
    <w:rsid w:val="0FAC4D03"/>
    <w:rsid w:val="0FB65A25"/>
    <w:rsid w:val="0FB962EC"/>
    <w:rsid w:val="0FE00284"/>
    <w:rsid w:val="0FED08B9"/>
    <w:rsid w:val="10007BA5"/>
    <w:rsid w:val="10397DB4"/>
    <w:rsid w:val="1045758D"/>
    <w:rsid w:val="1049083F"/>
    <w:rsid w:val="10AA725A"/>
    <w:rsid w:val="10BF79E2"/>
    <w:rsid w:val="10F675DA"/>
    <w:rsid w:val="10FE6829"/>
    <w:rsid w:val="112C5D66"/>
    <w:rsid w:val="116B47A3"/>
    <w:rsid w:val="117C7A5C"/>
    <w:rsid w:val="118539B9"/>
    <w:rsid w:val="11987F6F"/>
    <w:rsid w:val="11A830C4"/>
    <w:rsid w:val="11A9602D"/>
    <w:rsid w:val="11CA511C"/>
    <w:rsid w:val="121F04AF"/>
    <w:rsid w:val="12244DD6"/>
    <w:rsid w:val="122A5015"/>
    <w:rsid w:val="123064A2"/>
    <w:rsid w:val="124712BA"/>
    <w:rsid w:val="125B34F1"/>
    <w:rsid w:val="12603CB1"/>
    <w:rsid w:val="1266051B"/>
    <w:rsid w:val="12BD0C25"/>
    <w:rsid w:val="12E65A0B"/>
    <w:rsid w:val="12EF7FC5"/>
    <w:rsid w:val="12F310D9"/>
    <w:rsid w:val="130277D3"/>
    <w:rsid w:val="130D3368"/>
    <w:rsid w:val="130F588A"/>
    <w:rsid w:val="13135EB3"/>
    <w:rsid w:val="13174B90"/>
    <w:rsid w:val="131D58F5"/>
    <w:rsid w:val="132C233E"/>
    <w:rsid w:val="13433B2C"/>
    <w:rsid w:val="136C288B"/>
    <w:rsid w:val="137A39DF"/>
    <w:rsid w:val="138630FE"/>
    <w:rsid w:val="13930BE4"/>
    <w:rsid w:val="13A46858"/>
    <w:rsid w:val="13DA0C71"/>
    <w:rsid w:val="13FF5CA5"/>
    <w:rsid w:val="1408603D"/>
    <w:rsid w:val="142C0CFF"/>
    <w:rsid w:val="143C7379"/>
    <w:rsid w:val="144D0F42"/>
    <w:rsid w:val="1479104D"/>
    <w:rsid w:val="147E306D"/>
    <w:rsid w:val="1491702F"/>
    <w:rsid w:val="14A52060"/>
    <w:rsid w:val="14A8186F"/>
    <w:rsid w:val="14E35ED2"/>
    <w:rsid w:val="150672BB"/>
    <w:rsid w:val="15205ED3"/>
    <w:rsid w:val="1527129A"/>
    <w:rsid w:val="15303E55"/>
    <w:rsid w:val="15381664"/>
    <w:rsid w:val="1554048D"/>
    <w:rsid w:val="15572B3E"/>
    <w:rsid w:val="1560731F"/>
    <w:rsid w:val="15D81C05"/>
    <w:rsid w:val="15EA63D6"/>
    <w:rsid w:val="15F015DF"/>
    <w:rsid w:val="15FF1B36"/>
    <w:rsid w:val="161C3AF2"/>
    <w:rsid w:val="162864F0"/>
    <w:rsid w:val="162C3F5E"/>
    <w:rsid w:val="16307A0E"/>
    <w:rsid w:val="16354957"/>
    <w:rsid w:val="16400E80"/>
    <w:rsid w:val="165669BE"/>
    <w:rsid w:val="16642E13"/>
    <w:rsid w:val="166B13D0"/>
    <w:rsid w:val="168F5E4A"/>
    <w:rsid w:val="16A50683"/>
    <w:rsid w:val="16BD23AB"/>
    <w:rsid w:val="16C277CE"/>
    <w:rsid w:val="16CD245F"/>
    <w:rsid w:val="16F039EA"/>
    <w:rsid w:val="16F9695E"/>
    <w:rsid w:val="170A508C"/>
    <w:rsid w:val="17116BE4"/>
    <w:rsid w:val="17380358"/>
    <w:rsid w:val="17597921"/>
    <w:rsid w:val="1762082D"/>
    <w:rsid w:val="176412D4"/>
    <w:rsid w:val="176E561B"/>
    <w:rsid w:val="1774149C"/>
    <w:rsid w:val="1775544C"/>
    <w:rsid w:val="17906DE4"/>
    <w:rsid w:val="17945725"/>
    <w:rsid w:val="17A930F2"/>
    <w:rsid w:val="17B340E8"/>
    <w:rsid w:val="17CB158D"/>
    <w:rsid w:val="17D303BE"/>
    <w:rsid w:val="17D60F90"/>
    <w:rsid w:val="17DF4046"/>
    <w:rsid w:val="17F52FDC"/>
    <w:rsid w:val="181D0965"/>
    <w:rsid w:val="181D7E38"/>
    <w:rsid w:val="18534811"/>
    <w:rsid w:val="186E2BE4"/>
    <w:rsid w:val="187B68D8"/>
    <w:rsid w:val="18A74CF8"/>
    <w:rsid w:val="18A80810"/>
    <w:rsid w:val="18BF4BC6"/>
    <w:rsid w:val="18C66D91"/>
    <w:rsid w:val="193E7CF4"/>
    <w:rsid w:val="196A31FD"/>
    <w:rsid w:val="196B222B"/>
    <w:rsid w:val="1985296C"/>
    <w:rsid w:val="198D0267"/>
    <w:rsid w:val="198E21E5"/>
    <w:rsid w:val="199D4349"/>
    <w:rsid w:val="19A85F6F"/>
    <w:rsid w:val="19B04485"/>
    <w:rsid w:val="19D00C5D"/>
    <w:rsid w:val="19D84FCE"/>
    <w:rsid w:val="19EA44D9"/>
    <w:rsid w:val="1A171133"/>
    <w:rsid w:val="1A3B5015"/>
    <w:rsid w:val="1A3F2201"/>
    <w:rsid w:val="1A4E0974"/>
    <w:rsid w:val="1A613435"/>
    <w:rsid w:val="1A626994"/>
    <w:rsid w:val="1A6C0381"/>
    <w:rsid w:val="1AAE1E0B"/>
    <w:rsid w:val="1ACD3D75"/>
    <w:rsid w:val="1AD16079"/>
    <w:rsid w:val="1B0C4E30"/>
    <w:rsid w:val="1B0E3C77"/>
    <w:rsid w:val="1B23343B"/>
    <w:rsid w:val="1B3E5E4E"/>
    <w:rsid w:val="1B43021D"/>
    <w:rsid w:val="1B693EFB"/>
    <w:rsid w:val="1B776D84"/>
    <w:rsid w:val="1B7C6D7B"/>
    <w:rsid w:val="1BB261A2"/>
    <w:rsid w:val="1BD911C0"/>
    <w:rsid w:val="1BF023F0"/>
    <w:rsid w:val="1C00180F"/>
    <w:rsid w:val="1C136E78"/>
    <w:rsid w:val="1C3603A4"/>
    <w:rsid w:val="1C697B3D"/>
    <w:rsid w:val="1C8B5E7E"/>
    <w:rsid w:val="1C9032A7"/>
    <w:rsid w:val="1C99534B"/>
    <w:rsid w:val="1C9C75E8"/>
    <w:rsid w:val="1CAE12C2"/>
    <w:rsid w:val="1CB87339"/>
    <w:rsid w:val="1CF726B4"/>
    <w:rsid w:val="1D0666B5"/>
    <w:rsid w:val="1D3B0FFC"/>
    <w:rsid w:val="1D49390D"/>
    <w:rsid w:val="1D5230A5"/>
    <w:rsid w:val="1D5E0AC4"/>
    <w:rsid w:val="1D6234CB"/>
    <w:rsid w:val="1D651FE1"/>
    <w:rsid w:val="1D6E2076"/>
    <w:rsid w:val="1D730091"/>
    <w:rsid w:val="1D8114A5"/>
    <w:rsid w:val="1D86683A"/>
    <w:rsid w:val="1D8F1E47"/>
    <w:rsid w:val="1DA67C45"/>
    <w:rsid w:val="1DC94D65"/>
    <w:rsid w:val="1DD8314B"/>
    <w:rsid w:val="1DDF4ABA"/>
    <w:rsid w:val="1DEA52CD"/>
    <w:rsid w:val="1DF6016C"/>
    <w:rsid w:val="1E145339"/>
    <w:rsid w:val="1E1507C3"/>
    <w:rsid w:val="1E162151"/>
    <w:rsid w:val="1E1B61BE"/>
    <w:rsid w:val="1E3725D0"/>
    <w:rsid w:val="1E3D457D"/>
    <w:rsid w:val="1E4D70BB"/>
    <w:rsid w:val="1E593151"/>
    <w:rsid w:val="1E5D5D39"/>
    <w:rsid w:val="1E606CCB"/>
    <w:rsid w:val="1E616D52"/>
    <w:rsid w:val="1E74728F"/>
    <w:rsid w:val="1EA54B55"/>
    <w:rsid w:val="1EC7388A"/>
    <w:rsid w:val="1EE936E6"/>
    <w:rsid w:val="1EED3B4E"/>
    <w:rsid w:val="1F10443D"/>
    <w:rsid w:val="1F1840BF"/>
    <w:rsid w:val="1F1A11FC"/>
    <w:rsid w:val="1F2A1266"/>
    <w:rsid w:val="1F2B1E1A"/>
    <w:rsid w:val="1F2F5711"/>
    <w:rsid w:val="1F346382"/>
    <w:rsid w:val="1F4B299E"/>
    <w:rsid w:val="1F6421F0"/>
    <w:rsid w:val="1F8D13A7"/>
    <w:rsid w:val="1FA73E1B"/>
    <w:rsid w:val="1FA81FC9"/>
    <w:rsid w:val="1FB75370"/>
    <w:rsid w:val="1FBF68A1"/>
    <w:rsid w:val="1FE267BE"/>
    <w:rsid w:val="1FE40ADA"/>
    <w:rsid w:val="20006279"/>
    <w:rsid w:val="20233E40"/>
    <w:rsid w:val="202734C2"/>
    <w:rsid w:val="20801BD1"/>
    <w:rsid w:val="20862E5D"/>
    <w:rsid w:val="20AE3CCE"/>
    <w:rsid w:val="20B959D1"/>
    <w:rsid w:val="20F54848"/>
    <w:rsid w:val="20F808BE"/>
    <w:rsid w:val="21051A95"/>
    <w:rsid w:val="210E4AF0"/>
    <w:rsid w:val="2125013E"/>
    <w:rsid w:val="212C2781"/>
    <w:rsid w:val="212E01DA"/>
    <w:rsid w:val="21396E35"/>
    <w:rsid w:val="213B3D81"/>
    <w:rsid w:val="21426FD9"/>
    <w:rsid w:val="21475B7A"/>
    <w:rsid w:val="215D76A9"/>
    <w:rsid w:val="218A5665"/>
    <w:rsid w:val="21A14A78"/>
    <w:rsid w:val="21B92932"/>
    <w:rsid w:val="21EA0C61"/>
    <w:rsid w:val="21F11854"/>
    <w:rsid w:val="21F50B59"/>
    <w:rsid w:val="21F63DCD"/>
    <w:rsid w:val="21FE57EE"/>
    <w:rsid w:val="220929FA"/>
    <w:rsid w:val="22140B6D"/>
    <w:rsid w:val="22327018"/>
    <w:rsid w:val="22391DC1"/>
    <w:rsid w:val="22465AD4"/>
    <w:rsid w:val="22643ECB"/>
    <w:rsid w:val="228B5471"/>
    <w:rsid w:val="22E942D2"/>
    <w:rsid w:val="22FC2D93"/>
    <w:rsid w:val="23272BE6"/>
    <w:rsid w:val="23277013"/>
    <w:rsid w:val="23582FE5"/>
    <w:rsid w:val="236A7E4F"/>
    <w:rsid w:val="23AB7A01"/>
    <w:rsid w:val="23E52FCD"/>
    <w:rsid w:val="23FE1A1C"/>
    <w:rsid w:val="23FE3D9F"/>
    <w:rsid w:val="240510B5"/>
    <w:rsid w:val="242A7A80"/>
    <w:rsid w:val="243E57FE"/>
    <w:rsid w:val="24672052"/>
    <w:rsid w:val="24863E0D"/>
    <w:rsid w:val="24957CAE"/>
    <w:rsid w:val="24AD0A54"/>
    <w:rsid w:val="24BD110A"/>
    <w:rsid w:val="24C6009C"/>
    <w:rsid w:val="24C76398"/>
    <w:rsid w:val="24D730D0"/>
    <w:rsid w:val="24DB4EEB"/>
    <w:rsid w:val="24EA64D6"/>
    <w:rsid w:val="24FE1CEC"/>
    <w:rsid w:val="2508059E"/>
    <w:rsid w:val="250F6B17"/>
    <w:rsid w:val="253318C3"/>
    <w:rsid w:val="254E1B27"/>
    <w:rsid w:val="255F419C"/>
    <w:rsid w:val="25783BBF"/>
    <w:rsid w:val="258C6773"/>
    <w:rsid w:val="25B120CC"/>
    <w:rsid w:val="2625778D"/>
    <w:rsid w:val="26492E47"/>
    <w:rsid w:val="26496052"/>
    <w:rsid w:val="268362C1"/>
    <w:rsid w:val="26A7296C"/>
    <w:rsid w:val="26B239DE"/>
    <w:rsid w:val="26BE276D"/>
    <w:rsid w:val="26D24D21"/>
    <w:rsid w:val="26FB7C6C"/>
    <w:rsid w:val="27206062"/>
    <w:rsid w:val="272625CE"/>
    <w:rsid w:val="273A78C4"/>
    <w:rsid w:val="275D4AB3"/>
    <w:rsid w:val="276D5C49"/>
    <w:rsid w:val="277A8510"/>
    <w:rsid w:val="278060C9"/>
    <w:rsid w:val="2790513A"/>
    <w:rsid w:val="27946117"/>
    <w:rsid w:val="27DC5FF6"/>
    <w:rsid w:val="27EB200C"/>
    <w:rsid w:val="27F51D33"/>
    <w:rsid w:val="28117085"/>
    <w:rsid w:val="28334179"/>
    <w:rsid w:val="28404DA6"/>
    <w:rsid w:val="28480A51"/>
    <w:rsid w:val="28513A23"/>
    <w:rsid w:val="28856D2C"/>
    <w:rsid w:val="28A26392"/>
    <w:rsid w:val="28F0709B"/>
    <w:rsid w:val="28F16AC5"/>
    <w:rsid w:val="291E4AA7"/>
    <w:rsid w:val="292022EB"/>
    <w:rsid w:val="292A69F3"/>
    <w:rsid w:val="292F3899"/>
    <w:rsid w:val="296D2CDD"/>
    <w:rsid w:val="29763EBB"/>
    <w:rsid w:val="2978571F"/>
    <w:rsid w:val="298C614B"/>
    <w:rsid w:val="298E7672"/>
    <w:rsid w:val="299A710C"/>
    <w:rsid w:val="299D277B"/>
    <w:rsid w:val="29A410C4"/>
    <w:rsid w:val="29BB4649"/>
    <w:rsid w:val="29D14A36"/>
    <w:rsid w:val="29E26B8E"/>
    <w:rsid w:val="29E92FD9"/>
    <w:rsid w:val="29EB75FE"/>
    <w:rsid w:val="29EE3418"/>
    <w:rsid w:val="2A01136C"/>
    <w:rsid w:val="2A042F97"/>
    <w:rsid w:val="2A3A37F3"/>
    <w:rsid w:val="2A4B2E9E"/>
    <w:rsid w:val="2A5442CE"/>
    <w:rsid w:val="2A620575"/>
    <w:rsid w:val="2A677B6B"/>
    <w:rsid w:val="2A6966B0"/>
    <w:rsid w:val="2AB1600E"/>
    <w:rsid w:val="2AC90B72"/>
    <w:rsid w:val="2AF1395A"/>
    <w:rsid w:val="2B133107"/>
    <w:rsid w:val="2B133802"/>
    <w:rsid w:val="2B1716CE"/>
    <w:rsid w:val="2B1F4085"/>
    <w:rsid w:val="2B234CB0"/>
    <w:rsid w:val="2BA70CA4"/>
    <w:rsid w:val="2BE734D6"/>
    <w:rsid w:val="2BF876D2"/>
    <w:rsid w:val="2C11317D"/>
    <w:rsid w:val="2C6546A7"/>
    <w:rsid w:val="2C946CF8"/>
    <w:rsid w:val="2C9C2493"/>
    <w:rsid w:val="2CA70D23"/>
    <w:rsid w:val="2CB35427"/>
    <w:rsid w:val="2CBE3320"/>
    <w:rsid w:val="2CC16544"/>
    <w:rsid w:val="2CCA2E9C"/>
    <w:rsid w:val="2CE72C9C"/>
    <w:rsid w:val="2D083A9C"/>
    <w:rsid w:val="2D2D59AD"/>
    <w:rsid w:val="2D5D514C"/>
    <w:rsid w:val="2D662C32"/>
    <w:rsid w:val="2D6A2896"/>
    <w:rsid w:val="2D940EA8"/>
    <w:rsid w:val="2D9666E1"/>
    <w:rsid w:val="2DB07BBB"/>
    <w:rsid w:val="2DDC1D54"/>
    <w:rsid w:val="2DE3610C"/>
    <w:rsid w:val="2DF44DFF"/>
    <w:rsid w:val="2E024970"/>
    <w:rsid w:val="2E0510D5"/>
    <w:rsid w:val="2E2126D4"/>
    <w:rsid w:val="2E3100F7"/>
    <w:rsid w:val="2E5124FC"/>
    <w:rsid w:val="2E57435C"/>
    <w:rsid w:val="2E833198"/>
    <w:rsid w:val="2E8B21B7"/>
    <w:rsid w:val="2EC45C61"/>
    <w:rsid w:val="2F04157B"/>
    <w:rsid w:val="2F127E5C"/>
    <w:rsid w:val="2F2568F4"/>
    <w:rsid w:val="2F5C4F50"/>
    <w:rsid w:val="2F7549E3"/>
    <w:rsid w:val="2F7F6DC7"/>
    <w:rsid w:val="2F921D46"/>
    <w:rsid w:val="2FAA4CFA"/>
    <w:rsid w:val="2FAC3F20"/>
    <w:rsid w:val="2FC520EC"/>
    <w:rsid w:val="2FCD7165"/>
    <w:rsid w:val="2FE8682E"/>
    <w:rsid w:val="30000949"/>
    <w:rsid w:val="300276AD"/>
    <w:rsid w:val="30140248"/>
    <w:rsid w:val="302D41B9"/>
    <w:rsid w:val="303D3154"/>
    <w:rsid w:val="306676B3"/>
    <w:rsid w:val="30782607"/>
    <w:rsid w:val="30AC00FC"/>
    <w:rsid w:val="30D029AD"/>
    <w:rsid w:val="30D7684D"/>
    <w:rsid w:val="30DD69E5"/>
    <w:rsid w:val="30E30BE0"/>
    <w:rsid w:val="30E416C2"/>
    <w:rsid w:val="30F9065E"/>
    <w:rsid w:val="311A532C"/>
    <w:rsid w:val="31202D59"/>
    <w:rsid w:val="31214D83"/>
    <w:rsid w:val="31277145"/>
    <w:rsid w:val="312E1520"/>
    <w:rsid w:val="313D699A"/>
    <w:rsid w:val="314A4AD6"/>
    <w:rsid w:val="317D2D79"/>
    <w:rsid w:val="31BA47FA"/>
    <w:rsid w:val="31BA732F"/>
    <w:rsid w:val="31C72C81"/>
    <w:rsid w:val="31DB79D8"/>
    <w:rsid w:val="31DF5536"/>
    <w:rsid w:val="32015893"/>
    <w:rsid w:val="3202517B"/>
    <w:rsid w:val="324803BF"/>
    <w:rsid w:val="32580C2C"/>
    <w:rsid w:val="325E7BE3"/>
    <w:rsid w:val="32721144"/>
    <w:rsid w:val="327C0898"/>
    <w:rsid w:val="328621F7"/>
    <w:rsid w:val="328F433C"/>
    <w:rsid w:val="32A777DC"/>
    <w:rsid w:val="32A945DA"/>
    <w:rsid w:val="32CC3D20"/>
    <w:rsid w:val="32E507B0"/>
    <w:rsid w:val="32F14310"/>
    <w:rsid w:val="32F504EA"/>
    <w:rsid w:val="331A087B"/>
    <w:rsid w:val="332710BC"/>
    <w:rsid w:val="332B3CDC"/>
    <w:rsid w:val="333F6B5C"/>
    <w:rsid w:val="334A0249"/>
    <w:rsid w:val="33550721"/>
    <w:rsid w:val="336F3A88"/>
    <w:rsid w:val="33A913D5"/>
    <w:rsid w:val="33AB2980"/>
    <w:rsid w:val="33C60BE9"/>
    <w:rsid w:val="33D07A3F"/>
    <w:rsid w:val="33D52442"/>
    <w:rsid w:val="340C11D7"/>
    <w:rsid w:val="34434999"/>
    <w:rsid w:val="34740168"/>
    <w:rsid w:val="34B411D6"/>
    <w:rsid w:val="34BC74E5"/>
    <w:rsid w:val="34CC7CE6"/>
    <w:rsid w:val="34D72835"/>
    <w:rsid w:val="34FB4E00"/>
    <w:rsid w:val="350A699C"/>
    <w:rsid w:val="351940BB"/>
    <w:rsid w:val="35250637"/>
    <w:rsid w:val="35374A80"/>
    <w:rsid w:val="3547045F"/>
    <w:rsid w:val="35602EE0"/>
    <w:rsid w:val="356F57FF"/>
    <w:rsid w:val="359D443D"/>
    <w:rsid w:val="35A25120"/>
    <w:rsid w:val="35AF5EAD"/>
    <w:rsid w:val="35B3464B"/>
    <w:rsid w:val="35BB6404"/>
    <w:rsid w:val="35C83966"/>
    <w:rsid w:val="35EA4DC7"/>
    <w:rsid w:val="36193A1F"/>
    <w:rsid w:val="361A6C49"/>
    <w:rsid w:val="36290ED7"/>
    <w:rsid w:val="36452BC7"/>
    <w:rsid w:val="364978A2"/>
    <w:rsid w:val="366110AB"/>
    <w:rsid w:val="36621107"/>
    <w:rsid w:val="367D717E"/>
    <w:rsid w:val="369505B5"/>
    <w:rsid w:val="36A55B3E"/>
    <w:rsid w:val="3719747C"/>
    <w:rsid w:val="37523D57"/>
    <w:rsid w:val="375546D0"/>
    <w:rsid w:val="37667C65"/>
    <w:rsid w:val="376B056A"/>
    <w:rsid w:val="376F585D"/>
    <w:rsid w:val="3788639F"/>
    <w:rsid w:val="378C1622"/>
    <w:rsid w:val="37B47CB9"/>
    <w:rsid w:val="37B66DED"/>
    <w:rsid w:val="37C55659"/>
    <w:rsid w:val="37D04971"/>
    <w:rsid w:val="37DD1845"/>
    <w:rsid w:val="38280C04"/>
    <w:rsid w:val="382943CC"/>
    <w:rsid w:val="383B2226"/>
    <w:rsid w:val="38814FB3"/>
    <w:rsid w:val="389A2B75"/>
    <w:rsid w:val="389E5864"/>
    <w:rsid w:val="38B71C00"/>
    <w:rsid w:val="38BD094B"/>
    <w:rsid w:val="38BD10F4"/>
    <w:rsid w:val="38D76721"/>
    <w:rsid w:val="38D87A7A"/>
    <w:rsid w:val="38DF1277"/>
    <w:rsid w:val="38E15F9E"/>
    <w:rsid w:val="391D4D4A"/>
    <w:rsid w:val="39473B61"/>
    <w:rsid w:val="39477608"/>
    <w:rsid w:val="39693912"/>
    <w:rsid w:val="39775F4D"/>
    <w:rsid w:val="397A7B42"/>
    <w:rsid w:val="398C1A44"/>
    <w:rsid w:val="39B63564"/>
    <w:rsid w:val="39D119B5"/>
    <w:rsid w:val="39E9296F"/>
    <w:rsid w:val="39EE5271"/>
    <w:rsid w:val="39F72DF7"/>
    <w:rsid w:val="3A1F5FA9"/>
    <w:rsid w:val="3A390C14"/>
    <w:rsid w:val="3A4C4B8A"/>
    <w:rsid w:val="3A52763E"/>
    <w:rsid w:val="3A641B97"/>
    <w:rsid w:val="3A6C0977"/>
    <w:rsid w:val="3A6C25F3"/>
    <w:rsid w:val="3A7E7632"/>
    <w:rsid w:val="3A8040CE"/>
    <w:rsid w:val="3A92671E"/>
    <w:rsid w:val="3AAF42B7"/>
    <w:rsid w:val="3ABC2AC9"/>
    <w:rsid w:val="3AC12005"/>
    <w:rsid w:val="3AC41532"/>
    <w:rsid w:val="3AF57DFF"/>
    <w:rsid w:val="3B123B1D"/>
    <w:rsid w:val="3B2C4D22"/>
    <w:rsid w:val="3B7F2EC5"/>
    <w:rsid w:val="3B862684"/>
    <w:rsid w:val="3B8E749B"/>
    <w:rsid w:val="3BF12F9C"/>
    <w:rsid w:val="3C0B302A"/>
    <w:rsid w:val="3C0D6B52"/>
    <w:rsid w:val="3C121A96"/>
    <w:rsid w:val="3CC06C48"/>
    <w:rsid w:val="3CD92630"/>
    <w:rsid w:val="3CF25B59"/>
    <w:rsid w:val="3D37175C"/>
    <w:rsid w:val="3D3D59A7"/>
    <w:rsid w:val="3D554870"/>
    <w:rsid w:val="3D575F14"/>
    <w:rsid w:val="3D5F02BA"/>
    <w:rsid w:val="3D6B2530"/>
    <w:rsid w:val="3D960903"/>
    <w:rsid w:val="3D9B114F"/>
    <w:rsid w:val="3DBA4ED5"/>
    <w:rsid w:val="3DBF67D7"/>
    <w:rsid w:val="3DEA9598"/>
    <w:rsid w:val="3E5B4555"/>
    <w:rsid w:val="3E6C52D0"/>
    <w:rsid w:val="3E884487"/>
    <w:rsid w:val="3E9B4B43"/>
    <w:rsid w:val="3EA9756D"/>
    <w:rsid w:val="3EB82F0C"/>
    <w:rsid w:val="3ED23235"/>
    <w:rsid w:val="3F1D2FAD"/>
    <w:rsid w:val="3F1E63AA"/>
    <w:rsid w:val="3F2A3FDA"/>
    <w:rsid w:val="3F2B3605"/>
    <w:rsid w:val="3F2F2876"/>
    <w:rsid w:val="3F375E5C"/>
    <w:rsid w:val="3F3DB615"/>
    <w:rsid w:val="3F4D7280"/>
    <w:rsid w:val="3F726B26"/>
    <w:rsid w:val="3F760C61"/>
    <w:rsid w:val="3F956790"/>
    <w:rsid w:val="3FA471DD"/>
    <w:rsid w:val="3FAB03CE"/>
    <w:rsid w:val="3FAC32FB"/>
    <w:rsid w:val="3FC67889"/>
    <w:rsid w:val="3FD00372"/>
    <w:rsid w:val="3FD60B27"/>
    <w:rsid w:val="3FE0497D"/>
    <w:rsid w:val="3FFA193D"/>
    <w:rsid w:val="40047F2B"/>
    <w:rsid w:val="40545155"/>
    <w:rsid w:val="406A7C37"/>
    <w:rsid w:val="407C076E"/>
    <w:rsid w:val="40894FEA"/>
    <w:rsid w:val="40937851"/>
    <w:rsid w:val="40DD6131"/>
    <w:rsid w:val="40E1631E"/>
    <w:rsid w:val="41147DE7"/>
    <w:rsid w:val="41310BBC"/>
    <w:rsid w:val="413D5DEA"/>
    <w:rsid w:val="417472C2"/>
    <w:rsid w:val="417C589B"/>
    <w:rsid w:val="41875AB9"/>
    <w:rsid w:val="41AA4C98"/>
    <w:rsid w:val="41E42B51"/>
    <w:rsid w:val="41E47396"/>
    <w:rsid w:val="41E513CF"/>
    <w:rsid w:val="420078D2"/>
    <w:rsid w:val="420D4B12"/>
    <w:rsid w:val="42140725"/>
    <w:rsid w:val="421F70FB"/>
    <w:rsid w:val="422E1FA9"/>
    <w:rsid w:val="424E6A6A"/>
    <w:rsid w:val="4253580B"/>
    <w:rsid w:val="4269685C"/>
    <w:rsid w:val="428C42F8"/>
    <w:rsid w:val="42916995"/>
    <w:rsid w:val="429A50F4"/>
    <w:rsid w:val="429F072B"/>
    <w:rsid w:val="42B11503"/>
    <w:rsid w:val="42BB3E32"/>
    <w:rsid w:val="42E13EFB"/>
    <w:rsid w:val="42F57B43"/>
    <w:rsid w:val="4300021C"/>
    <w:rsid w:val="430A0141"/>
    <w:rsid w:val="431048A2"/>
    <w:rsid w:val="43354687"/>
    <w:rsid w:val="433E62B7"/>
    <w:rsid w:val="43413818"/>
    <w:rsid w:val="43633203"/>
    <w:rsid w:val="43654CB3"/>
    <w:rsid w:val="43837720"/>
    <w:rsid w:val="43937CEC"/>
    <w:rsid w:val="43A23117"/>
    <w:rsid w:val="43B02851"/>
    <w:rsid w:val="43D5709D"/>
    <w:rsid w:val="43F010BC"/>
    <w:rsid w:val="43F9615B"/>
    <w:rsid w:val="43FC61F5"/>
    <w:rsid w:val="44200E5C"/>
    <w:rsid w:val="44320C41"/>
    <w:rsid w:val="448E1AF3"/>
    <w:rsid w:val="44A1408B"/>
    <w:rsid w:val="44AA7268"/>
    <w:rsid w:val="44B4325F"/>
    <w:rsid w:val="44D5474C"/>
    <w:rsid w:val="44EB37DC"/>
    <w:rsid w:val="44EC7F2C"/>
    <w:rsid w:val="44F61A5C"/>
    <w:rsid w:val="44FD6E0B"/>
    <w:rsid w:val="45204A10"/>
    <w:rsid w:val="45447162"/>
    <w:rsid w:val="454B32D2"/>
    <w:rsid w:val="45573461"/>
    <w:rsid w:val="457401D2"/>
    <w:rsid w:val="45914CF1"/>
    <w:rsid w:val="45997458"/>
    <w:rsid w:val="45BE4593"/>
    <w:rsid w:val="45C73FC5"/>
    <w:rsid w:val="45C86102"/>
    <w:rsid w:val="45D70058"/>
    <w:rsid w:val="45F6A4C1"/>
    <w:rsid w:val="46116774"/>
    <w:rsid w:val="462976F5"/>
    <w:rsid w:val="462A3E8E"/>
    <w:rsid w:val="464F005A"/>
    <w:rsid w:val="466805A3"/>
    <w:rsid w:val="466966B1"/>
    <w:rsid w:val="467743EB"/>
    <w:rsid w:val="46794C02"/>
    <w:rsid w:val="468B0DF1"/>
    <w:rsid w:val="46C85337"/>
    <w:rsid w:val="46E72276"/>
    <w:rsid w:val="47146243"/>
    <w:rsid w:val="471825FE"/>
    <w:rsid w:val="47240C93"/>
    <w:rsid w:val="474C53D0"/>
    <w:rsid w:val="475B2DE3"/>
    <w:rsid w:val="476314F5"/>
    <w:rsid w:val="4767136B"/>
    <w:rsid w:val="476F5BD8"/>
    <w:rsid w:val="476F6B92"/>
    <w:rsid w:val="477C0AA2"/>
    <w:rsid w:val="47802144"/>
    <w:rsid w:val="47B34E6F"/>
    <w:rsid w:val="47BE6D02"/>
    <w:rsid w:val="47D34BC8"/>
    <w:rsid w:val="48020130"/>
    <w:rsid w:val="48055F98"/>
    <w:rsid w:val="480D406B"/>
    <w:rsid w:val="481B2449"/>
    <w:rsid w:val="48201BA0"/>
    <w:rsid w:val="48310B94"/>
    <w:rsid w:val="483D48D9"/>
    <w:rsid w:val="485F1AC8"/>
    <w:rsid w:val="48630A37"/>
    <w:rsid w:val="486D7E15"/>
    <w:rsid w:val="487701A3"/>
    <w:rsid w:val="489444DC"/>
    <w:rsid w:val="48B76F28"/>
    <w:rsid w:val="48BD009B"/>
    <w:rsid w:val="48CC33F0"/>
    <w:rsid w:val="48D032D3"/>
    <w:rsid w:val="48E07CEE"/>
    <w:rsid w:val="48FA645F"/>
    <w:rsid w:val="48FD2CFB"/>
    <w:rsid w:val="49052248"/>
    <w:rsid w:val="491C4628"/>
    <w:rsid w:val="49267254"/>
    <w:rsid w:val="492C457B"/>
    <w:rsid w:val="492E147C"/>
    <w:rsid w:val="492F1403"/>
    <w:rsid w:val="4933522D"/>
    <w:rsid w:val="494E5BED"/>
    <w:rsid w:val="497A134E"/>
    <w:rsid w:val="497F2A08"/>
    <w:rsid w:val="49993110"/>
    <w:rsid w:val="49B228F5"/>
    <w:rsid w:val="4A2F72A1"/>
    <w:rsid w:val="4A324346"/>
    <w:rsid w:val="4A595408"/>
    <w:rsid w:val="4A6D2F2D"/>
    <w:rsid w:val="4A7C1D2B"/>
    <w:rsid w:val="4A915D23"/>
    <w:rsid w:val="4A994E90"/>
    <w:rsid w:val="4ACA04A4"/>
    <w:rsid w:val="4AD57F23"/>
    <w:rsid w:val="4AED1596"/>
    <w:rsid w:val="4AEE6BBA"/>
    <w:rsid w:val="4B057E5B"/>
    <w:rsid w:val="4B1F5704"/>
    <w:rsid w:val="4B3B2B82"/>
    <w:rsid w:val="4B43140C"/>
    <w:rsid w:val="4B8B467C"/>
    <w:rsid w:val="4BD2210A"/>
    <w:rsid w:val="4BFB14F4"/>
    <w:rsid w:val="4C182A4E"/>
    <w:rsid w:val="4C1946EF"/>
    <w:rsid w:val="4C4B453B"/>
    <w:rsid w:val="4C5A0B36"/>
    <w:rsid w:val="4C5A6039"/>
    <w:rsid w:val="4C666669"/>
    <w:rsid w:val="4C7859A1"/>
    <w:rsid w:val="4C7E3802"/>
    <w:rsid w:val="4C860BDC"/>
    <w:rsid w:val="4CC65C90"/>
    <w:rsid w:val="4CD85A52"/>
    <w:rsid w:val="4D0718E6"/>
    <w:rsid w:val="4D533669"/>
    <w:rsid w:val="4D665E71"/>
    <w:rsid w:val="4D6A4FB1"/>
    <w:rsid w:val="4D6C0F21"/>
    <w:rsid w:val="4D7670BC"/>
    <w:rsid w:val="4D791052"/>
    <w:rsid w:val="4D876471"/>
    <w:rsid w:val="4D891B60"/>
    <w:rsid w:val="4D971152"/>
    <w:rsid w:val="4DA77836"/>
    <w:rsid w:val="4DB71B04"/>
    <w:rsid w:val="4DC332C4"/>
    <w:rsid w:val="4DEA2B01"/>
    <w:rsid w:val="4DED1555"/>
    <w:rsid w:val="4DFE58E7"/>
    <w:rsid w:val="4E006AFF"/>
    <w:rsid w:val="4E197412"/>
    <w:rsid w:val="4E2272DA"/>
    <w:rsid w:val="4E276D92"/>
    <w:rsid w:val="4E42660F"/>
    <w:rsid w:val="4E497A91"/>
    <w:rsid w:val="4E685B64"/>
    <w:rsid w:val="4EB2108A"/>
    <w:rsid w:val="4EE24C78"/>
    <w:rsid w:val="4EE30BDC"/>
    <w:rsid w:val="4EE83382"/>
    <w:rsid w:val="4EFB3B6F"/>
    <w:rsid w:val="4F013DE4"/>
    <w:rsid w:val="4F3B237D"/>
    <w:rsid w:val="4F63385A"/>
    <w:rsid w:val="4F7D111F"/>
    <w:rsid w:val="4F877C64"/>
    <w:rsid w:val="4F8E3C4F"/>
    <w:rsid w:val="4F91183A"/>
    <w:rsid w:val="4F923A73"/>
    <w:rsid w:val="4FA21163"/>
    <w:rsid w:val="4FAF7A0B"/>
    <w:rsid w:val="4FB61C29"/>
    <w:rsid w:val="4FB70CBD"/>
    <w:rsid w:val="4FB72A18"/>
    <w:rsid w:val="4FC231AF"/>
    <w:rsid w:val="4FCB46B2"/>
    <w:rsid w:val="4FFC61B4"/>
    <w:rsid w:val="50020BD2"/>
    <w:rsid w:val="501953CF"/>
    <w:rsid w:val="501B5AF2"/>
    <w:rsid w:val="502A1EA5"/>
    <w:rsid w:val="503334CC"/>
    <w:rsid w:val="50336CD0"/>
    <w:rsid w:val="504A779E"/>
    <w:rsid w:val="505B4755"/>
    <w:rsid w:val="506B04C7"/>
    <w:rsid w:val="50783A4C"/>
    <w:rsid w:val="50982A4E"/>
    <w:rsid w:val="50A32552"/>
    <w:rsid w:val="50C33C0D"/>
    <w:rsid w:val="50C453E0"/>
    <w:rsid w:val="50CD4459"/>
    <w:rsid w:val="50F8554E"/>
    <w:rsid w:val="511B3417"/>
    <w:rsid w:val="511E7E17"/>
    <w:rsid w:val="51321E38"/>
    <w:rsid w:val="51415252"/>
    <w:rsid w:val="51AB1FB2"/>
    <w:rsid w:val="51B51430"/>
    <w:rsid w:val="51D532F2"/>
    <w:rsid w:val="51D655C1"/>
    <w:rsid w:val="51E10673"/>
    <w:rsid w:val="5200097C"/>
    <w:rsid w:val="52051205"/>
    <w:rsid w:val="520758EE"/>
    <w:rsid w:val="520E5464"/>
    <w:rsid w:val="521A3D9B"/>
    <w:rsid w:val="521C3B9B"/>
    <w:rsid w:val="52562516"/>
    <w:rsid w:val="52583417"/>
    <w:rsid w:val="525A036E"/>
    <w:rsid w:val="52614E59"/>
    <w:rsid w:val="528932EE"/>
    <w:rsid w:val="529D3B26"/>
    <w:rsid w:val="52AF2755"/>
    <w:rsid w:val="52BA27BB"/>
    <w:rsid w:val="52DB0ADD"/>
    <w:rsid w:val="52E23BED"/>
    <w:rsid w:val="52F33072"/>
    <w:rsid w:val="53302CAA"/>
    <w:rsid w:val="534F58EA"/>
    <w:rsid w:val="535766EE"/>
    <w:rsid w:val="5370307C"/>
    <w:rsid w:val="537A201C"/>
    <w:rsid w:val="5386715A"/>
    <w:rsid w:val="53932308"/>
    <w:rsid w:val="53CF1161"/>
    <w:rsid w:val="53D835EF"/>
    <w:rsid w:val="53F8359B"/>
    <w:rsid w:val="54154B39"/>
    <w:rsid w:val="541967B2"/>
    <w:rsid w:val="542D0ED1"/>
    <w:rsid w:val="54345897"/>
    <w:rsid w:val="54401E41"/>
    <w:rsid w:val="545063D3"/>
    <w:rsid w:val="5476171A"/>
    <w:rsid w:val="54993FAF"/>
    <w:rsid w:val="54A31387"/>
    <w:rsid w:val="54C6026B"/>
    <w:rsid w:val="54E73EB2"/>
    <w:rsid w:val="54F15D3A"/>
    <w:rsid w:val="54F428E4"/>
    <w:rsid w:val="54FA08EA"/>
    <w:rsid w:val="551029ED"/>
    <w:rsid w:val="552B6D0A"/>
    <w:rsid w:val="5532579B"/>
    <w:rsid w:val="553A1482"/>
    <w:rsid w:val="55405546"/>
    <w:rsid w:val="554D5D68"/>
    <w:rsid w:val="55535DFC"/>
    <w:rsid w:val="556D73F7"/>
    <w:rsid w:val="557D25B4"/>
    <w:rsid w:val="55B6737B"/>
    <w:rsid w:val="55CC1183"/>
    <w:rsid w:val="55D23DAF"/>
    <w:rsid w:val="56220463"/>
    <w:rsid w:val="562B5EAA"/>
    <w:rsid w:val="564C3058"/>
    <w:rsid w:val="5680567A"/>
    <w:rsid w:val="568D675F"/>
    <w:rsid w:val="569402BC"/>
    <w:rsid w:val="56A103AB"/>
    <w:rsid w:val="56A16461"/>
    <w:rsid w:val="56B04601"/>
    <w:rsid w:val="56B905DB"/>
    <w:rsid w:val="56FF6573"/>
    <w:rsid w:val="57044BFA"/>
    <w:rsid w:val="570910D8"/>
    <w:rsid w:val="570A1F63"/>
    <w:rsid w:val="574D665D"/>
    <w:rsid w:val="576E35F8"/>
    <w:rsid w:val="577A061B"/>
    <w:rsid w:val="57A16140"/>
    <w:rsid w:val="57A8352A"/>
    <w:rsid w:val="57B91294"/>
    <w:rsid w:val="57C17A71"/>
    <w:rsid w:val="57C32112"/>
    <w:rsid w:val="57F07A9A"/>
    <w:rsid w:val="58030E40"/>
    <w:rsid w:val="58377797"/>
    <w:rsid w:val="584A0434"/>
    <w:rsid w:val="584A6390"/>
    <w:rsid w:val="584D462B"/>
    <w:rsid w:val="584F68DB"/>
    <w:rsid w:val="585039A6"/>
    <w:rsid w:val="585C182D"/>
    <w:rsid w:val="58832A59"/>
    <w:rsid w:val="58A27021"/>
    <w:rsid w:val="58AE1B43"/>
    <w:rsid w:val="58B71C77"/>
    <w:rsid w:val="58D26AB1"/>
    <w:rsid w:val="58DC7589"/>
    <w:rsid w:val="590E0409"/>
    <w:rsid w:val="59207767"/>
    <w:rsid w:val="592F02C4"/>
    <w:rsid w:val="59315921"/>
    <w:rsid w:val="593505A2"/>
    <w:rsid w:val="59392F0E"/>
    <w:rsid w:val="595F088A"/>
    <w:rsid w:val="596867AE"/>
    <w:rsid w:val="59781295"/>
    <w:rsid w:val="59801E7B"/>
    <w:rsid w:val="598737B1"/>
    <w:rsid w:val="598B0C93"/>
    <w:rsid w:val="599150BB"/>
    <w:rsid w:val="59961C23"/>
    <w:rsid w:val="59A14D6A"/>
    <w:rsid w:val="59B83E95"/>
    <w:rsid w:val="59BE4ABB"/>
    <w:rsid w:val="59D04128"/>
    <w:rsid w:val="59D04A1F"/>
    <w:rsid w:val="59F851E6"/>
    <w:rsid w:val="5A1D0F99"/>
    <w:rsid w:val="5A2244A2"/>
    <w:rsid w:val="5A2731F1"/>
    <w:rsid w:val="5A2D1436"/>
    <w:rsid w:val="5A4704D9"/>
    <w:rsid w:val="5A700339"/>
    <w:rsid w:val="5A7C5C65"/>
    <w:rsid w:val="5A8B2EBE"/>
    <w:rsid w:val="5AC02ADD"/>
    <w:rsid w:val="5AC65AC4"/>
    <w:rsid w:val="5ACB1A7B"/>
    <w:rsid w:val="5ADF2B64"/>
    <w:rsid w:val="5AEC0211"/>
    <w:rsid w:val="5B03642B"/>
    <w:rsid w:val="5B27561D"/>
    <w:rsid w:val="5B7B5D98"/>
    <w:rsid w:val="5B827F0C"/>
    <w:rsid w:val="5B912724"/>
    <w:rsid w:val="5B98537E"/>
    <w:rsid w:val="5B9D0FE0"/>
    <w:rsid w:val="5BB26726"/>
    <w:rsid w:val="5BC41995"/>
    <w:rsid w:val="5BEA105C"/>
    <w:rsid w:val="5C24558D"/>
    <w:rsid w:val="5C254400"/>
    <w:rsid w:val="5C274F25"/>
    <w:rsid w:val="5C2B766E"/>
    <w:rsid w:val="5C2C5CBA"/>
    <w:rsid w:val="5C30613C"/>
    <w:rsid w:val="5C486F08"/>
    <w:rsid w:val="5C651809"/>
    <w:rsid w:val="5CA74DA9"/>
    <w:rsid w:val="5CBD1826"/>
    <w:rsid w:val="5D0239B2"/>
    <w:rsid w:val="5D283089"/>
    <w:rsid w:val="5D5A39F1"/>
    <w:rsid w:val="5D695C66"/>
    <w:rsid w:val="5D884FD8"/>
    <w:rsid w:val="5D915315"/>
    <w:rsid w:val="5D9C143B"/>
    <w:rsid w:val="5DED7EE9"/>
    <w:rsid w:val="5DF721D2"/>
    <w:rsid w:val="5E0970F8"/>
    <w:rsid w:val="5E1831B8"/>
    <w:rsid w:val="5E2E295B"/>
    <w:rsid w:val="5E3B5F33"/>
    <w:rsid w:val="5E4B5B1E"/>
    <w:rsid w:val="5E4F07DC"/>
    <w:rsid w:val="5E746155"/>
    <w:rsid w:val="5EAE439E"/>
    <w:rsid w:val="5EB6477F"/>
    <w:rsid w:val="5EB72FD9"/>
    <w:rsid w:val="5EBF61CB"/>
    <w:rsid w:val="5ED0635B"/>
    <w:rsid w:val="5ED650E7"/>
    <w:rsid w:val="5F046719"/>
    <w:rsid w:val="5F0556A5"/>
    <w:rsid w:val="5F346514"/>
    <w:rsid w:val="5F407312"/>
    <w:rsid w:val="5F4B136B"/>
    <w:rsid w:val="5F5C6BE3"/>
    <w:rsid w:val="5F5E291D"/>
    <w:rsid w:val="5F795ED8"/>
    <w:rsid w:val="5F9C7D45"/>
    <w:rsid w:val="5FCD4C77"/>
    <w:rsid w:val="5FDC7811"/>
    <w:rsid w:val="600F6368"/>
    <w:rsid w:val="601B0D3D"/>
    <w:rsid w:val="602554A4"/>
    <w:rsid w:val="6025786A"/>
    <w:rsid w:val="602A3D9E"/>
    <w:rsid w:val="60316B4B"/>
    <w:rsid w:val="60343956"/>
    <w:rsid w:val="60473F58"/>
    <w:rsid w:val="607930E3"/>
    <w:rsid w:val="6090450E"/>
    <w:rsid w:val="60964868"/>
    <w:rsid w:val="60985806"/>
    <w:rsid w:val="609A54D2"/>
    <w:rsid w:val="609A66BA"/>
    <w:rsid w:val="60BA5B08"/>
    <w:rsid w:val="60C43E42"/>
    <w:rsid w:val="60F07031"/>
    <w:rsid w:val="61040CF5"/>
    <w:rsid w:val="611138C4"/>
    <w:rsid w:val="61325CC0"/>
    <w:rsid w:val="614D3E5A"/>
    <w:rsid w:val="616A31C3"/>
    <w:rsid w:val="617B5D5C"/>
    <w:rsid w:val="618952C5"/>
    <w:rsid w:val="619D1BAE"/>
    <w:rsid w:val="61AA3703"/>
    <w:rsid w:val="61C15F36"/>
    <w:rsid w:val="61D924D5"/>
    <w:rsid w:val="61DC06E4"/>
    <w:rsid w:val="61FF51D7"/>
    <w:rsid w:val="6200468F"/>
    <w:rsid w:val="62095B46"/>
    <w:rsid w:val="62262BC5"/>
    <w:rsid w:val="622746DB"/>
    <w:rsid w:val="62335AAB"/>
    <w:rsid w:val="62443FA5"/>
    <w:rsid w:val="626B2804"/>
    <w:rsid w:val="62774777"/>
    <w:rsid w:val="627C747E"/>
    <w:rsid w:val="6289567D"/>
    <w:rsid w:val="62B97750"/>
    <w:rsid w:val="62F467C7"/>
    <w:rsid w:val="630E2DDB"/>
    <w:rsid w:val="6310240F"/>
    <w:rsid w:val="632C187C"/>
    <w:rsid w:val="63482F25"/>
    <w:rsid w:val="635B7BAB"/>
    <w:rsid w:val="636D5D54"/>
    <w:rsid w:val="637475F1"/>
    <w:rsid w:val="637F44C4"/>
    <w:rsid w:val="63822B7C"/>
    <w:rsid w:val="63861052"/>
    <w:rsid w:val="639C2195"/>
    <w:rsid w:val="63AB2175"/>
    <w:rsid w:val="63C57F7E"/>
    <w:rsid w:val="63C74C17"/>
    <w:rsid w:val="63D32185"/>
    <w:rsid w:val="63DE1A6C"/>
    <w:rsid w:val="63E33E9F"/>
    <w:rsid w:val="63E42F22"/>
    <w:rsid w:val="63EC0620"/>
    <w:rsid w:val="63F00F31"/>
    <w:rsid w:val="63F26259"/>
    <w:rsid w:val="64000BAA"/>
    <w:rsid w:val="64025E15"/>
    <w:rsid w:val="64302FF1"/>
    <w:rsid w:val="64754CBD"/>
    <w:rsid w:val="64893A44"/>
    <w:rsid w:val="64BB2EEF"/>
    <w:rsid w:val="64CA46FE"/>
    <w:rsid w:val="64F4263D"/>
    <w:rsid w:val="64FE478A"/>
    <w:rsid w:val="650529B8"/>
    <w:rsid w:val="65074BDE"/>
    <w:rsid w:val="650F3034"/>
    <w:rsid w:val="651E6BDA"/>
    <w:rsid w:val="65235BA3"/>
    <w:rsid w:val="652C579B"/>
    <w:rsid w:val="653A7EB8"/>
    <w:rsid w:val="65506ECD"/>
    <w:rsid w:val="656F7435"/>
    <w:rsid w:val="65B33B6D"/>
    <w:rsid w:val="65C0156C"/>
    <w:rsid w:val="65C70C9B"/>
    <w:rsid w:val="65CB25C1"/>
    <w:rsid w:val="65E4B1C5"/>
    <w:rsid w:val="65FD2FBD"/>
    <w:rsid w:val="66091638"/>
    <w:rsid w:val="660F2051"/>
    <w:rsid w:val="662758B0"/>
    <w:rsid w:val="66280FB8"/>
    <w:rsid w:val="665D3009"/>
    <w:rsid w:val="666D7E19"/>
    <w:rsid w:val="666E3A09"/>
    <w:rsid w:val="66840534"/>
    <w:rsid w:val="66A96271"/>
    <w:rsid w:val="66B1528F"/>
    <w:rsid w:val="66B912B0"/>
    <w:rsid w:val="66D50EC0"/>
    <w:rsid w:val="66DC0BA4"/>
    <w:rsid w:val="66E32558"/>
    <w:rsid w:val="66E457D0"/>
    <w:rsid w:val="66EB14B1"/>
    <w:rsid w:val="66FB459C"/>
    <w:rsid w:val="670C5884"/>
    <w:rsid w:val="67186025"/>
    <w:rsid w:val="671958AB"/>
    <w:rsid w:val="671975BC"/>
    <w:rsid w:val="672453BC"/>
    <w:rsid w:val="67260575"/>
    <w:rsid w:val="672F10EE"/>
    <w:rsid w:val="673C5C79"/>
    <w:rsid w:val="67614D6F"/>
    <w:rsid w:val="676D612B"/>
    <w:rsid w:val="67874BF0"/>
    <w:rsid w:val="678C134E"/>
    <w:rsid w:val="67900070"/>
    <w:rsid w:val="67974985"/>
    <w:rsid w:val="67BD31C8"/>
    <w:rsid w:val="67DB59C5"/>
    <w:rsid w:val="67E67464"/>
    <w:rsid w:val="680F6798"/>
    <w:rsid w:val="682E6664"/>
    <w:rsid w:val="682F6272"/>
    <w:rsid w:val="684E025F"/>
    <w:rsid w:val="686561F3"/>
    <w:rsid w:val="68667F0F"/>
    <w:rsid w:val="6880338E"/>
    <w:rsid w:val="6893466F"/>
    <w:rsid w:val="689729A8"/>
    <w:rsid w:val="68BC74E5"/>
    <w:rsid w:val="68D81C6B"/>
    <w:rsid w:val="68ED5113"/>
    <w:rsid w:val="69132EFA"/>
    <w:rsid w:val="692149B3"/>
    <w:rsid w:val="6922047C"/>
    <w:rsid w:val="69486784"/>
    <w:rsid w:val="69915E49"/>
    <w:rsid w:val="69DC4EEF"/>
    <w:rsid w:val="69E90B44"/>
    <w:rsid w:val="69EE7374"/>
    <w:rsid w:val="69F66EAE"/>
    <w:rsid w:val="6A0271EA"/>
    <w:rsid w:val="6A2203FD"/>
    <w:rsid w:val="6A333F88"/>
    <w:rsid w:val="6A471BE3"/>
    <w:rsid w:val="6A4D14DD"/>
    <w:rsid w:val="6A541A8B"/>
    <w:rsid w:val="6A5E29AC"/>
    <w:rsid w:val="6A6A165A"/>
    <w:rsid w:val="6A733103"/>
    <w:rsid w:val="6AAC7C60"/>
    <w:rsid w:val="6AB77922"/>
    <w:rsid w:val="6AC36259"/>
    <w:rsid w:val="6AC664D6"/>
    <w:rsid w:val="6AEA2833"/>
    <w:rsid w:val="6AF4148C"/>
    <w:rsid w:val="6AFE4F17"/>
    <w:rsid w:val="6B430224"/>
    <w:rsid w:val="6B806D34"/>
    <w:rsid w:val="6B8D5CB0"/>
    <w:rsid w:val="6BAE64BE"/>
    <w:rsid w:val="6BAF6990"/>
    <w:rsid w:val="6BCB3A0A"/>
    <w:rsid w:val="6BD01B90"/>
    <w:rsid w:val="6BED3FEC"/>
    <w:rsid w:val="6C206ED5"/>
    <w:rsid w:val="6C231BF3"/>
    <w:rsid w:val="6C414AE5"/>
    <w:rsid w:val="6C4F3138"/>
    <w:rsid w:val="6C891725"/>
    <w:rsid w:val="6CE16BB2"/>
    <w:rsid w:val="6CF37B95"/>
    <w:rsid w:val="6D382917"/>
    <w:rsid w:val="6D3A3595"/>
    <w:rsid w:val="6D8C0941"/>
    <w:rsid w:val="6DA3036C"/>
    <w:rsid w:val="6DB52807"/>
    <w:rsid w:val="6DB74A4F"/>
    <w:rsid w:val="6DC9105A"/>
    <w:rsid w:val="6DCF3731"/>
    <w:rsid w:val="6DD218E2"/>
    <w:rsid w:val="6DE620D3"/>
    <w:rsid w:val="6E354B35"/>
    <w:rsid w:val="6E450B4F"/>
    <w:rsid w:val="6E4F4372"/>
    <w:rsid w:val="6E830E22"/>
    <w:rsid w:val="6E8A0450"/>
    <w:rsid w:val="6E8F688C"/>
    <w:rsid w:val="6E8F768D"/>
    <w:rsid w:val="6E9023F0"/>
    <w:rsid w:val="6EA50D16"/>
    <w:rsid w:val="6EAF265B"/>
    <w:rsid w:val="6EB64598"/>
    <w:rsid w:val="6EC81378"/>
    <w:rsid w:val="6EDB2465"/>
    <w:rsid w:val="6EDB41D8"/>
    <w:rsid w:val="6EF51D74"/>
    <w:rsid w:val="6F0676DB"/>
    <w:rsid w:val="6F1F7097"/>
    <w:rsid w:val="6F240E9B"/>
    <w:rsid w:val="6F251010"/>
    <w:rsid w:val="6F265009"/>
    <w:rsid w:val="6F332352"/>
    <w:rsid w:val="6F34254C"/>
    <w:rsid w:val="6F4F144A"/>
    <w:rsid w:val="6F580EAC"/>
    <w:rsid w:val="6F6F11B5"/>
    <w:rsid w:val="6F7654E9"/>
    <w:rsid w:val="6F83677B"/>
    <w:rsid w:val="6F8658D0"/>
    <w:rsid w:val="6FA032F5"/>
    <w:rsid w:val="6FCF30C2"/>
    <w:rsid w:val="6FDA72C7"/>
    <w:rsid w:val="70072E7F"/>
    <w:rsid w:val="70080C52"/>
    <w:rsid w:val="70454201"/>
    <w:rsid w:val="70545BA6"/>
    <w:rsid w:val="7071519F"/>
    <w:rsid w:val="70755857"/>
    <w:rsid w:val="707C1F6A"/>
    <w:rsid w:val="70862F45"/>
    <w:rsid w:val="708A008A"/>
    <w:rsid w:val="709F103E"/>
    <w:rsid w:val="70B069B0"/>
    <w:rsid w:val="70DA00E3"/>
    <w:rsid w:val="70EB5886"/>
    <w:rsid w:val="70FA5C5E"/>
    <w:rsid w:val="71026B0F"/>
    <w:rsid w:val="71313867"/>
    <w:rsid w:val="71395C15"/>
    <w:rsid w:val="715D1C2A"/>
    <w:rsid w:val="718733AF"/>
    <w:rsid w:val="718D0DC7"/>
    <w:rsid w:val="718E044C"/>
    <w:rsid w:val="71B65BF5"/>
    <w:rsid w:val="71C456E1"/>
    <w:rsid w:val="71C793E6"/>
    <w:rsid w:val="71D75792"/>
    <w:rsid w:val="71D80F33"/>
    <w:rsid w:val="71DE2D69"/>
    <w:rsid w:val="71E116BB"/>
    <w:rsid w:val="71E22F31"/>
    <w:rsid w:val="71EA7F5F"/>
    <w:rsid w:val="721F5F02"/>
    <w:rsid w:val="7241390C"/>
    <w:rsid w:val="72476893"/>
    <w:rsid w:val="724B75D1"/>
    <w:rsid w:val="72646899"/>
    <w:rsid w:val="72657D5B"/>
    <w:rsid w:val="726E4FB0"/>
    <w:rsid w:val="726F0085"/>
    <w:rsid w:val="727A10C3"/>
    <w:rsid w:val="728464F8"/>
    <w:rsid w:val="728E1573"/>
    <w:rsid w:val="729605D2"/>
    <w:rsid w:val="72A86780"/>
    <w:rsid w:val="72BD38E7"/>
    <w:rsid w:val="72E477BB"/>
    <w:rsid w:val="73051E5E"/>
    <w:rsid w:val="731C0BFD"/>
    <w:rsid w:val="732857F3"/>
    <w:rsid w:val="732F0741"/>
    <w:rsid w:val="733D0312"/>
    <w:rsid w:val="73457EEE"/>
    <w:rsid w:val="734A190B"/>
    <w:rsid w:val="734C0F62"/>
    <w:rsid w:val="73564555"/>
    <w:rsid w:val="7358297F"/>
    <w:rsid w:val="735C74F0"/>
    <w:rsid w:val="737A2F98"/>
    <w:rsid w:val="737E7DD6"/>
    <w:rsid w:val="73847B2E"/>
    <w:rsid w:val="739D62AF"/>
    <w:rsid w:val="73C13552"/>
    <w:rsid w:val="73C249E3"/>
    <w:rsid w:val="73C379A7"/>
    <w:rsid w:val="73CD470A"/>
    <w:rsid w:val="73CF70AC"/>
    <w:rsid w:val="73D0232A"/>
    <w:rsid w:val="73D2350F"/>
    <w:rsid w:val="73D96842"/>
    <w:rsid w:val="73E3796C"/>
    <w:rsid w:val="740C1B79"/>
    <w:rsid w:val="74161AF0"/>
    <w:rsid w:val="74633CCB"/>
    <w:rsid w:val="749B35C8"/>
    <w:rsid w:val="749E21C5"/>
    <w:rsid w:val="749F31F8"/>
    <w:rsid w:val="74C16640"/>
    <w:rsid w:val="74D8038A"/>
    <w:rsid w:val="74DD3805"/>
    <w:rsid w:val="74EC45FF"/>
    <w:rsid w:val="750A49CB"/>
    <w:rsid w:val="753A01C7"/>
    <w:rsid w:val="754A3647"/>
    <w:rsid w:val="757D6154"/>
    <w:rsid w:val="759279C7"/>
    <w:rsid w:val="75974F21"/>
    <w:rsid w:val="75AC7C3E"/>
    <w:rsid w:val="75CC593F"/>
    <w:rsid w:val="75D92385"/>
    <w:rsid w:val="760D3F92"/>
    <w:rsid w:val="76223E5A"/>
    <w:rsid w:val="762F12C9"/>
    <w:rsid w:val="764C4B26"/>
    <w:rsid w:val="76672EB0"/>
    <w:rsid w:val="7675094C"/>
    <w:rsid w:val="768C42EB"/>
    <w:rsid w:val="76AD55B0"/>
    <w:rsid w:val="76C327FA"/>
    <w:rsid w:val="76DC4991"/>
    <w:rsid w:val="76E83F59"/>
    <w:rsid w:val="76EE28B0"/>
    <w:rsid w:val="774153F4"/>
    <w:rsid w:val="77535EA9"/>
    <w:rsid w:val="776101F3"/>
    <w:rsid w:val="77684472"/>
    <w:rsid w:val="77703A8F"/>
    <w:rsid w:val="777F040D"/>
    <w:rsid w:val="77826384"/>
    <w:rsid w:val="778A2ADF"/>
    <w:rsid w:val="77A13072"/>
    <w:rsid w:val="77AE7A25"/>
    <w:rsid w:val="77B623EB"/>
    <w:rsid w:val="782E5C21"/>
    <w:rsid w:val="78565C5F"/>
    <w:rsid w:val="78760DAF"/>
    <w:rsid w:val="787C1F2B"/>
    <w:rsid w:val="788C39AB"/>
    <w:rsid w:val="78A35B07"/>
    <w:rsid w:val="78A67DE5"/>
    <w:rsid w:val="78A833F8"/>
    <w:rsid w:val="78E23053"/>
    <w:rsid w:val="78EE6ABF"/>
    <w:rsid w:val="78FE0912"/>
    <w:rsid w:val="79014704"/>
    <w:rsid w:val="7904670A"/>
    <w:rsid w:val="79123C76"/>
    <w:rsid w:val="79603529"/>
    <w:rsid w:val="796521AA"/>
    <w:rsid w:val="797A12A5"/>
    <w:rsid w:val="798B005C"/>
    <w:rsid w:val="799D7560"/>
    <w:rsid w:val="79A74735"/>
    <w:rsid w:val="79DE5947"/>
    <w:rsid w:val="79F01948"/>
    <w:rsid w:val="7A3E276A"/>
    <w:rsid w:val="7A435CF8"/>
    <w:rsid w:val="7A62342C"/>
    <w:rsid w:val="7A6F5578"/>
    <w:rsid w:val="7AA0012F"/>
    <w:rsid w:val="7AD86586"/>
    <w:rsid w:val="7ADB3D64"/>
    <w:rsid w:val="7AE731BB"/>
    <w:rsid w:val="7AFB072C"/>
    <w:rsid w:val="7B0E7D7E"/>
    <w:rsid w:val="7B1F4414"/>
    <w:rsid w:val="7B220D7A"/>
    <w:rsid w:val="7B314145"/>
    <w:rsid w:val="7B423BA6"/>
    <w:rsid w:val="7B8A691F"/>
    <w:rsid w:val="7BB323A4"/>
    <w:rsid w:val="7BD06370"/>
    <w:rsid w:val="7BD26556"/>
    <w:rsid w:val="7BD90751"/>
    <w:rsid w:val="7C1E5525"/>
    <w:rsid w:val="7C340DA5"/>
    <w:rsid w:val="7C611591"/>
    <w:rsid w:val="7C617E90"/>
    <w:rsid w:val="7C691945"/>
    <w:rsid w:val="7C7B54BA"/>
    <w:rsid w:val="7C7E74AD"/>
    <w:rsid w:val="7CA13EF5"/>
    <w:rsid w:val="7CA370CA"/>
    <w:rsid w:val="7CDB7433"/>
    <w:rsid w:val="7CF90BCC"/>
    <w:rsid w:val="7CFE0C90"/>
    <w:rsid w:val="7D004D33"/>
    <w:rsid w:val="7D093735"/>
    <w:rsid w:val="7D0B35A9"/>
    <w:rsid w:val="7D10125B"/>
    <w:rsid w:val="7D20753B"/>
    <w:rsid w:val="7D324A80"/>
    <w:rsid w:val="7D387AF0"/>
    <w:rsid w:val="7D495DF8"/>
    <w:rsid w:val="7D631C31"/>
    <w:rsid w:val="7D6F58DC"/>
    <w:rsid w:val="7D745FC2"/>
    <w:rsid w:val="7D760658"/>
    <w:rsid w:val="7D93250C"/>
    <w:rsid w:val="7DAC46E3"/>
    <w:rsid w:val="7DB43F61"/>
    <w:rsid w:val="7DBC3708"/>
    <w:rsid w:val="7DBFD4DB"/>
    <w:rsid w:val="7DCC1471"/>
    <w:rsid w:val="7DCD33A9"/>
    <w:rsid w:val="7DEA575C"/>
    <w:rsid w:val="7E017A0E"/>
    <w:rsid w:val="7E1E72DD"/>
    <w:rsid w:val="7E246BF7"/>
    <w:rsid w:val="7E290A6E"/>
    <w:rsid w:val="7E431FC4"/>
    <w:rsid w:val="7E494870"/>
    <w:rsid w:val="7E4B0D7C"/>
    <w:rsid w:val="7E4B7ACC"/>
    <w:rsid w:val="7E4F4F34"/>
    <w:rsid w:val="7E725D58"/>
    <w:rsid w:val="7E971AC8"/>
    <w:rsid w:val="7EAA079E"/>
    <w:rsid w:val="7ECD23E4"/>
    <w:rsid w:val="7ECE0D9B"/>
    <w:rsid w:val="7ED10936"/>
    <w:rsid w:val="7ED91384"/>
    <w:rsid w:val="7EDD793D"/>
    <w:rsid w:val="7EE0746B"/>
    <w:rsid w:val="7EE42E4B"/>
    <w:rsid w:val="7EF24AC5"/>
    <w:rsid w:val="7F0013D2"/>
    <w:rsid w:val="7F01339C"/>
    <w:rsid w:val="7F4230B9"/>
    <w:rsid w:val="7F492CC2"/>
    <w:rsid w:val="7F4F5EB6"/>
    <w:rsid w:val="7F530517"/>
    <w:rsid w:val="7F5B485B"/>
    <w:rsid w:val="7F653DC4"/>
    <w:rsid w:val="7F754F75"/>
    <w:rsid w:val="7FBF303C"/>
    <w:rsid w:val="7FBF33FA"/>
    <w:rsid w:val="7FC754AB"/>
    <w:rsid w:val="7FCB7C32"/>
    <w:rsid w:val="7FD16873"/>
    <w:rsid w:val="7FDA184F"/>
    <w:rsid w:val="7FDFAA44"/>
    <w:rsid w:val="7FF16F6D"/>
    <w:rsid w:val="7FF85FA3"/>
    <w:rsid w:val="9AF69C77"/>
    <w:rsid w:val="B0FAA1DA"/>
    <w:rsid w:val="B37F1048"/>
    <w:rsid w:val="BEC73DFC"/>
    <w:rsid w:val="BF7EC544"/>
    <w:rsid w:val="BF7F0857"/>
    <w:rsid w:val="BFB93805"/>
    <w:rsid w:val="CFFA4EFC"/>
    <w:rsid w:val="DABBA306"/>
    <w:rsid w:val="DDF7FE8F"/>
    <w:rsid w:val="DFF510B0"/>
    <w:rsid w:val="ED9295D7"/>
    <w:rsid w:val="EE2D565F"/>
    <w:rsid w:val="EEFC420F"/>
    <w:rsid w:val="F0ED54B7"/>
    <w:rsid w:val="F3CBF27C"/>
    <w:rsid w:val="FDFD60EF"/>
    <w:rsid w:val="FE67F141"/>
    <w:rsid w:val="FFAEF9EC"/>
    <w:rsid w:val="FFDF10B1"/>
    <w:rsid w:val="FFEAC162"/>
    <w:rsid w:val="FFFF17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3">
    <w:name w:val="Default Paragraph Font"/>
    <w:qFormat/>
    <w:uiPriority w:val="0"/>
    <w:rPr>
      <w:rFonts w:ascii="Times New Roman" w:hAnsi="Times New Roman" w:eastAsia="宋体" w:cs="Times New Roman"/>
    </w:rPr>
  </w:style>
  <w:style w:type="table" w:default="1" w:styleId="1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qFormat/>
    <w:uiPriority w:val="1"/>
    <w:rPr>
      <w:sz w:val="32"/>
      <w:szCs w:val="32"/>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9">
    <w:name w:val="footnote text"/>
    <w:basedOn w:val="1"/>
    <w:unhideWhenUsed/>
    <w:qFormat/>
    <w:uiPriority w:val="99"/>
    <w:pPr>
      <w:snapToGrid w:val="0"/>
    </w:pPr>
    <w:rPr>
      <w:sz w:val="18"/>
      <w:szCs w:val="18"/>
    </w:rPr>
  </w:style>
  <w:style w:type="paragraph" w:styleId="10">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rFonts w:ascii="Times New Roman" w:hAnsi="Times New Roman" w:eastAsia="宋体" w:cs="Times New Roman"/>
      <w:b/>
    </w:rPr>
  </w:style>
  <w:style w:type="character" w:styleId="15">
    <w:name w:val="FollowedHyperlink"/>
    <w:basedOn w:val="13"/>
    <w:qFormat/>
    <w:uiPriority w:val="0"/>
    <w:rPr>
      <w:rFonts w:ascii="Times New Roman" w:hAnsi="Times New Roman" w:eastAsia="宋体" w:cs="Times New Roman"/>
      <w:color w:val="000000"/>
      <w:u w:val="none"/>
    </w:rPr>
  </w:style>
  <w:style w:type="character" w:styleId="16">
    <w:name w:val="Hyperlink"/>
    <w:basedOn w:val="13"/>
    <w:qFormat/>
    <w:uiPriority w:val="0"/>
    <w:rPr>
      <w:rFonts w:ascii="Times New Roman" w:hAnsi="Times New Roman" w:eastAsia="宋体" w:cs="Times New Roman"/>
      <w:color w:val="000000"/>
      <w:u w:val="none"/>
    </w:rPr>
  </w:style>
  <w:style w:type="character" w:styleId="17">
    <w:name w:val="footnote reference"/>
    <w:basedOn w:val="13"/>
    <w:unhideWhenUsed/>
    <w:qFormat/>
    <w:uiPriority w:val="99"/>
    <w:rPr>
      <w:vertAlign w:val="superscript"/>
    </w:rPr>
  </w:style>
  <w:style w:type="character" w:customStyle="1" w:styleId="18">
    <w:name w:val="NormalCharacter"/>
    <w:qFormat/>
    <w:uiPriority w:val="0"/>
    <w:rPr>
      <w:rFonts w:ascii="Calibri" w:hAnsi="Calibri" w:eastAsia="宋体" w:cs="Times New Roman"/>
      <w:kern w:val="2"/>
      <w:sz w:val="21"/>
      <w:szCs w:val="24"/>
      <w:lang w:val="en-US" w:eastAsia="zh-CN" w:bidi="ar-SA"/>
    </w:rPr>
  </w:style>
  <w:style w:type="paragraph" w:customStyle="1" w:styleId="19">
    <w:name w:val="正文-公1"/>
    <w:basedOn w:val="1"/>
    <w:next w:val="1"/>
    <w:qFormat/>
    <w:uiPriority w:val="0"/>
    <w:pPr>
      <w:ind w:firstLine="200" w:firstLineChars="200"/>
      <w:jc w:val="left"/>
    </w:pPr>
    <w:rPr>
      <w:rFonts w:eastAsia="仿宋_GB2312"/>
    </w:rPr>
  </w:style>
  <w:style w:type="paragraph" w:customStyle="1" w:styleId="20">
    <w:name w:val="p16"/>
    <w:basedOn w:val="1"/>
    <w:qFormat/>
    <w:uiPriority w:val="0"/>
    <w:pPr>
      <w:widowControl/>
    </w:pPr>
    <w:rPr>
      <w:rFonts w:ascii="Times New Roman" w:hAnsi="Times New Roman" w:eastAsia="宋体" w:cs="Times New Roman"/>
      <w:kern w:val="0"/>
      <w:szCs w:val="21"/>
    </w:rPr>
  </w:style>
  <w:style w:type="paragraph" w:customStyle="1" w:styleId="21">
    <w:name w:val="样式3"/>
    <w:basedOn w:val="1"/>
    <w:qFormat/>
    <w:uiPriority w:val="0"/>
    <w:rPr>
      <w:rFonts w:ascii="Times New Roman" w:hAnsi="Times New Roman" w:eastAsia="宋体" w:cs="Times New Roman"/>
    </w:rPr>
  </w:style>
  <w:style w:type="paragraph" w:customStyle="1" w:styleId="22">
    <w:name w:val="样式4"/>
    <w:basedOn w:val="1"/>
    <w:qFormat/>
    <w:uiPriority w:val="0"/>
    <w:rPr>
      <w:rFonts w:ascii="Times New Roman" w:hAnsi="Times New Roman" w:eastAsia="宋体" w:cs="Times New Roman"/>
    </w:rPr>
  </w:style>
  <w:style w:type="paragraph" w:customStyle="1" w:styleId="23">
    <w:name w:val="样式2"/>
    <w:basedOn w:val="1"/>
    <w:qFormat/>
    <w:uiPriority w:val="0"/>
    <w:rPr>
      <w:rFonts w:ascii="Times New Roman" w:hAnsi="Times New Roman" w:eastAsia="宋体" w:cs="Times New Roman"/>
    </w:rPr>
  </w:style>
  <w:style w:type="character" w:customStyle="1" w:styleId="24">
    <w:name w:val="15"/>
    <w:basedOn w:val="13"/>
    <w:qFormat/>
    <w:uiPriority w:val="0"/>
    <w:rPr>
      <w:rFonts w:hint="default"/>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937</Words>
  <Characters>970</Characters>
  <Lines>37</Lines>
  <Paragraphs>10</Paragraphs>
  <TotalTime>157</TotalTime>
  <ScaleCrop>false</ScaleCrop>
  <LinksUpToDate>false</LinksUpToDate>
  <CharactersWithSpaces>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lx</dc:creator>
  <cp:lastModifiedBy>涛</cp:lastModifiedBy>
  <cp:lastPrinted>2026-08-06T06:35:00Z</cp:lastPrinted>
  <dcterms:modified xsi:type="dcterms:W3CDTF">2026-08-06T07:05:32Z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835586D5E69648B38D9584F3E5B66E4D_13</vt:lpwstr>
  </property>
  <property fmtid="{D5CDD505-2E9C-101B-9397-08002B2CF9AE}" pid="4" name="KSOTemplateDocerSaveRecord">
    <vt:lpwstr>eyJoZGlkIjoiMjYwZTFjM2Q3N2QxMWZjY2M1NDFlZTBjODM0MmJiZmEiLCJ1c2VySWQiOiIyMjcyMTQzNjIifQ==</vt:lpwstr>
  </property>
</Properties>
</file>