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抚顺高新区辽宁森源化工股份有限公司</w:t>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“1•17”火灾事故调查报告</w:t>
      </w:r>
    </w:p>
    <w:p>
      <w:pPr>
        <w:ind w:firstLine="420" w:firstLineChars="200"/>
        <w:rPr>
          <w:rFonts w:ascii="仿宋_GB2312" w:hAnsi="宋体" w:eastAsia="仿宋_GB2312"/>
          <w:szCs w:val="21"/>
        </w:rPr>
      </w:pPr>
      <w:r>
        <w:rPr>
          <w:rFonts w:hint="eastAsia" w:ascii="仿宋_GB2312" w:hAnsi="宋体" w:eastAsia="仿宋_GB2312"/>
          <w:szCs w:val="21"/>
        </w:rPr>
        <w:t xml:space="preserve">                               </w:t>
      </w:r>
    </w:p>
    <w:p>
      <w:pPr>
        <w:pStyle w:val="10"/>
        <w:spacing w:line="560" w:lineRule="exact"/>
        <w:ind w:firstLine="640"/>
        <w:rPr>
          <w:rFonts w:hint="default"/>
        </w:rPr>
      </w:pPr>
      <w:r>
        <w:t>2024年1月17日9时20分许，位于抚顺高新技术产业开发区齐隆东街6号的辽宁森源化工股份有限公司厂区内，辽宁森源化工股份有限公司在对0#废弃污水罐进行切割拆除作业时，发生一起火灾事故，事故无人员伤亡，直接经济损失约500元。</w:t>
      </w:r>
    </w:p>
    <w:p>
      <w:pPr>
        <w:pStyle w:val="10"/>
        <w:spacing w:line="560" w:lineRule="exact"/>
        <w:ind w:firstLine="640"/>
        <w:rPr>
          <w:rFonts w:hint="default"/>
        </w:rPr>
      </w:pPr>
      <w:r>
        <w:t>事故发生后，按照市政府意见，经请示</w:t>
      </w:r>
      <w:r>
        <w:rPr>
          <w:rFonts w:hint="default"/>
        </w:rPr>
        <w:t>市政府</w:t>
      </w:r>
      <w:r>
        <w:t>同意，依照《中华人民共和国安全生产法》《生产安全事故报告和调查处理条例》等法律法规规定，</w:t>
      </w:r>
      <w:r>
        <w:rPr>
          <w:rFonts w:ascii="仿宋" w:hAnsi="仿宋" w:eastAsia="仿宋" w:cs="仿宋"/>
          <w:bCs/>
          <w:color w:val="000000"/>
        </w:rPr>
        <w:t>成立了由市应急管理局牵头，市公安局、市总工会、市生态环境局、市市场监督管理局、市消防救援支队、抚顺高新区管委会组成的抚顺高新区辽宁森源化工股份有限公司“1•17”火灾事故调查组</w:t>
      </w:r>
      <w:r>
        <w:t>（以下简称“事故调查组”）</w:t>
      </w:r>
      <w:r>
        <w:rPr>
          <w:rFonts w:ascii="仿宋" w:hAnsi="仿宋" w:eastAsia="仿宋" w:cs="仿宋"/>
          <w:bCs/>
          <w:color w:val="000000"/>
        </w:rPr>
        <w:t>开展事故调查工作</w:t>
      </w:r>
      <w:r>
        <w:t>，</w:t>
      </w:r>
      <w:r>
        <w:rPr>
          <w:rFonts w:ascii="仿宋" w:hAnsi="仿宋" w:eastAsia="仿宋"/>
        </w:rPr>
        <w:t>事故调查组聘请了有关专家参与调查，市纪委监委全程监督。</w:t>
      </w:r>
    </w:p>
    <w:p>
      <w:pPr>
        <w:spacing w:line="560" w:lineRule="exact"/>
        <w:ind w:left="59" w:firstLine="640"/>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事故调查组坚持“科学严谨、依法依规、实事求是、注重实效”和“四不放过”的原则，通过</w:t>
      </w:r>
      <w:r>
        <w:rPr>
          <w:rFonts w:hint="eastAsia" w:ascii="仿宋_GB2312" w:hAnsi="仿宋_GB2312" w:eastAsia="仿宋_GB2312" w:cs="仿宋_GB2312"/>
          <w:color w:val="000000"/>
          <w:sz w:val="32"/>
          <w:szCs w:val="32"/>
        </w:rPr>
        <w:t>现场勘察、</w:t>
      </w:r>
      <w:r>
        <w:rPr>
          <w:rFonts w:hint="eastAsia" w:ascii="仿宋_GB2312" w:hAnsi="仿宋_GB2312" w:eastAsia="仿宋_GB2312" w:cs="仿宋_GB2312"/>
          <w:sz w:val="32"/>
          <w:szCs w:val="32"/>
        </w:rPr>
        <w:t>查阅资料、</w:t>
      </w:r>
      <w:r>
        <w:rPr>
          <w:rFonts w:hint="eastAsia" w:ascii="仿宋_GB2312" w:hAnsi="仿宋_GB2312" w:eastAsia="仿宋_GB2312" w:cs="仿宋_GB2312"/>
          <w:color w:val="000000"/>
          <w:sz w:val="32"/>
          <w:szCs w:val="32"/>
        </w:rPr>
        <w:t>对相关人员询问、收集有关物证、书证</w:t>
      </w:r>
      <w:r>
        <w:rPr>
          <w:rFonts w:hint="eastAsia" w:ascii="仿宋_GB2312" w:hAnsi="仿宋_GB2312" w:eastAsia="仿宋_GB2312" w:cs="仿宋_GB2312"/>
          <w:kern w:val="1"/>
          <w:sz w:val="32"/>
          <w:szCs w:val="32"/>
        </w:rPr>
        <w:t>，查清了事故发生的经过、原因和应急处置情况，认定了事故的性质和责任，</w:t>
      </w:r>
      <w:r>
        <w:rPr>
          <w:rFonts w:hint="eastAsia" w:ascii="仿宋_GB2312" w:hAnsi="仿宋_GB2312" w:eastAsia="仿宋_GB2312" w:cs="仿宋_GB2312"/>
          <w:color w:val="000000"/>
          <w:sz w:val="32"/>
          <w:szCs w:val="32"/>
        </w:rPr>
        <w:t>提出了对有关责任人、责任单位的处理建议，事故防范及整改措施。</w:t>
      </w:r>
    </w:p>
    <w:p>
      <w:pPr>
        <w:autoSpaceDE w:val="0"/>
        <w:autoSpaceDN w:val="0"/>
        <w:adjustRightIn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kern w:val="1"/>
          <w:sz w:val="32"/>
          <w:szCs w:val="32"/>
        </w:rPr>
        <w:t>经调查认定，“</w:t>
      </w:r>
      <w:r>
        <w:rPr>
          <w:rFonts w:hint="eastAsia" w:ascii="仿宋" w:hAnsi="仿宋" w:eastAsia="仿宋" w:cs="仿宋"/>
          <w:bCs/>
          <w:color w:val="000000"/>
          <w:sz w:val="32"/>
          <w:szCs w:val="32"/>
        </w:rPr>
        <w:t>1•17</w:t>
      </w:r>
      <w:r>
        <w:rPr>
          <w:rFonts w:hint="eastAsia" w:ascii="仿宋_GB2312" w:hAnsi="仿宋_GB2312" w:eastAsia="仿宋_GB2312" w:cs="仿宋_GB2312"/>
          <w:kern w:val="1"/>
          <w:sz w:val="32"/>
          <w:szCs w:val="32"/>
        </w:rPr>
        <w:t>”事故是一起因</w:t>
      </w:r>
      <w:r>
        <w:rPr>
          <w:rFonts w:hint="eastAsia" w:ascii="仿宋_GB2312" w:hAnsi="宋体" w:eastAsia="仿宋_GB2312"/>
          <w:sz w:val="32"/>
          <w:szCs w:val="32"/>
        </w:rPr>
        <w:t>主要负责人和有关负责人履职不到位，在无有效施工方案、未采取可靠的安全措施的情况下违章作业</w:t>
      </w:r>
      <w:r>
        <w:rPr>
          <w:rFonts w:hint="eastAsia" w:ascii="仿宋_GB2312" w:hAnsi="仿宋_GB2312" w:eastAsia="仿宋_GB2312" w:cs="仿宋_GB2312"/>
          <w:kern w:val="1"/>
          <w:sz w:val="32"/>
          <w:szCs w:val="32"/>
        </w:rPr>
        <w:t>造成的生产安全责任事故。现将有</w:t>
      </w:r>
      <w:r>
        <w:rPr>
          <w:rFonts w:hint="eastAsia" w:ascii="仿宋_GB2312" w:hAnsi="仿宋_GB2312" w:eastAsia="仿宋_GB2312" w:cs="仿宋_GB2312"/>
          <w:color w:val="000000"/>
          <w:sz w:val="32"/>
          <w:szCs w:val="32"/>
        </w:rPr>
        <w:t>关情况报告如下：</w:t>
      </w:r>
    </w:p>
    <w:p>
      <w:pPr>
        <w:autoSpaceDE w:val="0"/>
        <w:autoSpaceDN w:val="0"/>
        <w:adjustRightInd w:val="0"/>
        <w:spacing w:line="560" w:lineRule="exact"/>
        <w:ind w:firstLine="640" w:firstLineChars="200"/>
        <w:rPr>
          <w:rFonts w:ascii="黑体" w:hAnsi="黑体" w:eastAsia="黑体" w:cs="黑体"/>
          <w:bCs/>
          <w:sz w:val="32"/>
          <w:szCs w:val="32"/>
        </w:rPr>
      </w:pPr>
      <w:r>
        <w:rPr>
          <w:rFonts w:hint="eastAsia" w:ascii="黑体" w:hAnsi="黑体" w:eastAsia="黑体" w:cs="黑体"/>
          <w:bCs/>
          <w:sz w:val="32"/>
          <w:szCs w:val="32"/>
        </w:rPr>
        <w:t>一、事故基本情况</w:t>
      </w:r>
    </w:p>
    <w:p>
      <w:pPr>
        <w:pStyle w:val="11"/>
        <w:numPr>
          <w:ilvl w:val="0"/>
          <w:numId w:val="0"/>
        </w:numPr>
        <w:spacing w:line="560" w:lineRule="exact"/>
        <w:ind w:firstLine="643" w:firstLineChars="200"/>
        <w:rPr>
          <w:rFonts w:hint="default"/>
        </w:rPr>
      </w:pPr>
      <w:r>
        <w:rPr>
          <w:b/>
          <w:bCs/>
        </w:rPr>
        <w:t>（一）事故单位概况</w:t>
      </w:r>
    </w:p>
    <w:p>
      <w:pPr>
        <w:spacing w:line="560" w:lineRule="exact"/>
        <w:ind w:firstLine="640" w:firstLineChars="200"/>
        <w:rPr>
          <w:rFonts w:ascii="仿宋_GB2312" w:hAnsi="宋体" w:eastAsia="仿宋_GB2312"/>
          <w:sz w:val="32"/>
          <w:szCs w:val="32"/>
        </w:rPr>
      </w:pPr>
      <w:r>
        <w:rPr>
          <w:rFonts w:hint="eastAsia" w:ascii="仿宋_GB2312" w:hAnsi="仿宋_GB2312" w:eastAsia="仿宋_GB2312" w:cs="仿宋_GB2312"/>
          <w:kern w:val="0"/>
          <w:sz w:val="32"/>
          <w:szCs w:val="32"/>
        </w:rPr>
        <w:t>辽宁森源化工股份有限公司（以下简称“辽宁森源公司”），地址：辽宁省抚顺高新技术产业开发区齐隆东街6号，统一社会信用代码：91210400318763999X，法定代表人：吕文成，成立日期：2015-05-27，经营范围：</w:t>
      </w:r>
      <w:r>
        <w:rPr>
          <w:rFonts w:hint="eastAsia" w:ascii="仿宋_GB2312" w:hAnsi="宋体" w:eastAsia="仿宋_GB2312"/>
          <w:sz w:val="32"/>
          <w:szCs w:val="32"/>
        </w:rPr>
        <w:t>对硝基苯胺、盐酸生产、销售（限在本厂区内销售本企业生产的危险化学品）；2,6-二氯-4-硝基苯胺、酞菁绿、酞菁蓝、多效唑的生产和销售</w:t>
      </w:r>
      <w:r>
        <w:rPr>
          <w:rFonts w:hint="eastAsia" w:ascii="仿宋_GB2312" w:hAnsi="仿宋_GB2312" w:eastAsia="仿宋_GB2312" w:cs="仿宋_GB2312"/>
          <w:kern w:val="0"/>
          <w:sz w:val="32"/>
          <w:szCs w:val="32"/>
        </w:rPr>
        <w:t>。</w:t>
      </w:r>
      <w:r>
        <w:rPr>
          <w:rFonts w:hint="eastAsia" w:ascii="仿宋_GB2312" w:hAnsi="宋体" w:eastAsia="仿宋_GB2312"/>
          <w:sz w:val="32"/>
          <w:szCs w:val="32"/>
        </w:rPr>
        <w:t>该企业于2020年12月11日取得安全生产许可证，编号为：（辽）WH安许证字【2020】1550，许可范围：对硝基苯胺、盐酸，许可证有效期为3年。该企业安全生产许可证于2023年12月10日到期，2024年1月17日事故发生时，企业处于停产状态。</w:t>
      </w:r>
    </w:p>
    <w:p>
      <w:pPr>
        <w:pStyle w:val="11"/>
        <w:numPr>
          <w:ilvl w:val="0"/>
          <w:numId w:val="0"/>
        </w:numPr>
        <w:spacing w:line="560" w:lineRule="exact"/>
        <w:ind w:firstLine="643" w:firstLineChars="200"/>
        <w:rPr>
          <w:rFonts w:hint="default"/>
          <w:b/>
          <w:bCs/>
        </w:rPr>
      </w:pPr>
      <w:r>
        <w:rPr>
          <w:b/>
          <w:bCs/>
        </w:rPr>
        <w:t>（二）事故焊工持证情况</w:t>
      </w:r>
    </w:p>
    <w:p>
      <w:pPr>
        <w:pStyle w:val="10"/>
        <w:spacing w:line="560" w:lineRule="exact"/>
        <w:ind w:firstLine="640"/>
        <w:rPr>
          <w:rFonts w:hint="default" w:ascii="仿宋" w:hAnsi="仿宋" w:eastAsia="仿宋" w:cs="仿宋"/>
          <w:kern w:val="2"/>
        </w:rPr>
      </w:pPr>
      <w:r>
        <w:rPr>
          <w:rFonts w:ascii="仿宋" w:hAnsi="仿宋" w:eastAsia="仿宋" w:cs="仿宋"/>
          <w:kern w:val="2"/>
        </w:rPr>
        <w:t>焊工何顺良，身份证号：32022319770414411X，2023年4月17日在商洛市应急管理局取得焊接与热切割作业证书，证书编号：T32022319770414411X。</w:t>
      </w:r>
    </w:p>
    <w:p>
      <w:pPr>
        <w:pStyle w:val="10"/>
        <w:spacing w:line="560" w:lineRule="exact"/>
        <w:ind w:firstLine="643"/>
        <w:rPr>
          <w:rFonts w:hint="default" w:eastAsia="楷体_GB2312"/>
          <w:b/>
          <w:bCs/>
        </w:rPr>
      </w:pPr>
      <w:r>
        <w:rPr>
          <w:rFonts w:eastAsia="楷体_GB2312"/>
          <w:b/>
          <w:bCs/>
        </w:rPr>
        <w:t>（三）事故现场情况</w:t>
      </w:r>
    </w:p>
    <w:p>
      <w:pPr>
        <w:spacing w:line="560" w:lineRule="exact"/>
        <w:ind w:firstLine="643" w:firstLineChars="200"/>
        <w:rPr>
          <w:rFonts w:ascii="仿宋_GB2312" w:hAnsi="宋体" w:eastAsia="仿宋_GB2312"/>
          <w:b/>
          <w:bCs/>
          <w:sz w:val="32"/>
          <w:szCs w:val="32"/>
        </w:rPr>
      </w:pPr>
      <w:r>
        <w:rPr>
          <w:rFonts w:hint="eastAsia" w:ascii="仿宋_GB2312" w:hAnsi="宋体" w:eastAsia="仿宋_GB2312"/>
          <w:b/>
          <w:bCs/>
          <w:sz w:val="32"/>
          <w:szCs w:val="32"/>
        </w:rPr>
        <w:t>1.事故企业位置</w:t>
      </w: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事故企业位于抚顺高新技术产业开发区齐隆东街6号，该企业北侧毗邻碾三线公路，东侧毗邻抚顺东科新能源科技有限公司，南侧毗邻辽宁新宇生物科技有限公司，西侧毗邻抚顺伊科思新材料有限公司，具体位置见图1和图2。</w:t>
      </w:r>
    </w:p>
    <w:p>
      <w:pPr>
        <w:jc w:val="cente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173345" cy="3856355"/>
            <wp:effectExtent l="0" t="0" r="8255" b="10795"/>
            <wp:docPr id="8" name="图片 8" descr="170979291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09792911967"/>
                    <pic:cNvPicPr>
                      <a:picLocks noChangeAspect="1"/>
                    </pic:cNvPicPr>
                  </pic:nvPicPr>
                  <pic:blipFill>
                    <a:blip r:embed="rId5" cstate="print"/>
                    <a:stretch>
                      <a:fillRect/>
                    </a:stretch>
                  </pic:blipFill>
                  <pic:spPr>
                    <a:xfrm>
                      <a:off x="0" y="0"/>
                      <a:ext cx="5173345" cy="3856355"/>
                    </a:xfrm>
                    <a:prstGeom prst="rect">
                      <a:avLst/>
                    </a:prstGeom>
                  </pic:spPr>
                </pic:pic>
              </a:graphicData>
            </a:graphic>
          </wp:inline>
        </w:drawing>
      </w:r>
    </w:p>
    <w:p>
      <w:pPr>
        <w:jc w:val="center"/>
        <w:rPr>
          <w:rFonts w:ascii="仿宋_GB2312" w:hAnsi="宋体" w:eastAsia="仿宋_GB2312"/>
          <w:sz w:val="24"/>
          <w:szCs w:val="24"/>
        </w:rPr>
      </w:pPr>
      <w:r>
        <w:rPr>
          <w:rFonts w:hint="eastAsia" w:ascii="仿宋_GB2312" w:hAnsi="宋体" w:eastAsia="仿宋_GB2312"/>
          <w:sz w:val="24"/>
          <w:szCs w:val="24"/>
        </w:rPr>
        <w:t xml:space="preserve">图1 事故企业位置图 </w:t>
      </w:r>
    </w:p>
    <w:p>
      <w:pPr>
        <w:jc w:val="center"/>
        <w:rPr>
          <w:rFonts w:ascii="仿宋_GB2312" w:hAnsi="宋体" w:eastAsia="仿宋_GB2312"/>
          <w:sz w:val="32"/>
          <w:szCs w:val="32"/>
        </w:rPr>
      </w:pPr>
      <w:r>
        <w:rPr>
          <w:rFonts w:hint="eastAsia" w:ascii="仿宋_GB2312" w:hAnsi="宋体" w:eastAsia="仿宋_GB2312"/>
          <w:sz w:val="32"/>
          <w:szCs w:val="32"/>
        </w:rPr>
        <w:drawing>
          <wp:inline distT="0" distB="0" distL="114300" distR="114300">
            <wp:extent cx="5160645" cy="3440430"/>
            <wp:effectExtent l="0" t="0" r="1905" b="762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6" cstate="print"/>
                    <a:stretch>
                      <a:fillRect/>
                    </a:stretch>
                  </pic:blipFill>
                  <pic:spPr>
                    <a:xfrm>
                      <a:off x="0" y="0"/>
                      <a:ext cx="5160645" cy="3440430"/>
                    </a:xfrm>
                    <a:prstGeom prst="rect">
                      <a:avLst/>
                    </a:prstGeom>
                  </pic:spPr>
                </pic:pic>
              </a:graphicData>
            </a:graphic>
          </wp:inline>
        </w:drawing>
      </w:r>
    </w:p>
    <w:p>
      <w:pPr>
        <w:pStyle w:val="2"/>
        <w:jc w:val="center"/>
        <w:rPr>
          <w:rFonts w:ascii="仿宋_GB2312" w:hAnsi="宋体" w:eastAsia="仿宋_GB2312"/>
          <w:sz w:val="32"/>
          <w:szCs w:val="32"/>
        </w:rPr>
      </w:pPr>
      <w:r>
        <w:rPr>
          <w:rFonts w:hint="eastAsia" w:ascii="仿宋_GB2312" w:hAnsi="宋体" w:eastAsia="仿宋_GB2312"/>
          <w:sz w:val="24"/>
          <w:szCs w:val="24"/>
        </w:rPr>
        <w:t>图2 事故企业现场图</w:t>
      </w:r>
    </w:p>
    <w:p>
      <w:pPr>
        <w:spacing w:line="560" w:lineRule="exact"/>
        <w:ind w:firstLine="643" w:firstLineChars="200"/>
        <w:rPr>
          <w:rFonts w:ascii="仿宋_GB2312" w:hAnsi="宋体" w:eastAsia="仿宋_GB2312"/>
          <w:b/>
          <w:bCs/>
          <w:sz w:val="32"/>
          <w:szCs w:val="32"/>
        </w:rPr>
      </w:pPr>
      <w:r>
        <w:rPr>
          <w:rFonts w:hint="eastAsia" w:ascii="仿宋_GB2312" w:hAnsi="宋体" w:eastAsia="仿宋_GB2312"/>
          <w:b/>
          <w:bCs/>
          <w:sz w:val="32"/>
          <w:szCs w:val="32"/>
        </w:rPr>
        <w:t>2.事发污水罐情况</w:t>
      </w:r>
    </w:p>
    <w:p>
      <w:pPr>
        <w:spacing w:line="560" w:lineRule="exact"/>
        <w:ind w:firstLine="640" w:firstLineChars="200"/>
        <w:rPr>
          <w:rFonts w:ascii="仿宋_GB2312" w:hAnsi="宋体" w:eastAsia="仿宋_GB2312"/>
          <w:sz w:val="28"/>
          <w:szCs w:val="28"/>
        </w:rPr>
      </w:pPr>
      <w:r>
        <w:rPr>
          <w:rFonts w:hint="eastAsia" w:ascii="仿宋_GB2312" w:hAnsi="宋体" w:eastAsia="仿宋_GB2312"/>
          <w:sz w:val="32"/>
          <w:szCs w:val="32"/>
        </w:rPr>
        <w:t>事发污水罐为0#污水罐，是废弃污水罐，位于辽宁森源公司院内厂区东侧，位于0#污水罐北侧的1#污水罐已拆除，1#污水罐拆除过程中未发生事故。</w:t>
      </w:r>
      <w:r>
        <w:rPr>
          <w:rFonts w:hint="eastAsia" w:ascii="仿宋" w:hAnsi="仿宋" w:eastAsia="仿宋" w:cs="仿宋"/>
          <w:sz w:val="32"/>
          <w:szCs w:val="32"/>
        </w:rPr>
        <w:t>0#</w:t>
      </w:r>
      <w:r>
        <w:rPr>
          <w:rFonts w:hint="eastAsia" w:ascii="仿宋_GB2312" w:hAnsi="宋体" w:eastAsia="仿宋_GB2312"/>
          <w:sz w:val="32"/>
          <w:szCs w:val="32"/>
        </w:rPr>
        <w:t>污水罐</w:t>
      </w:r>
      <w:r>
        <w:rPr>
          <w:rFonts w:hint="eastAsia" w:ascii="仿宋" w:hAnsi="仿宋" w:eastAsia="仿宋" w:cs="仿宋"/>
          <w:sz w:val="32"/>
          <w:szCs w:val="32"/>
        </w:rPr>
        <w:t>外型为圆柱体，</w:t>
      </w:r>
      <w:r>
        <w:rPr>
          <w:rFonts w:hint="eastAsia" w:ascii="仿宋_GB2312" w:hAnsi="宋体" w:eastAsia="仿宋_GB2312"/>
          <w:sz w:val="32"/>
          <w:szCs w:val="32"/>
        </w:rPr>
        <w:t>规格为</w:t>
      </w:r>
      <w:r>
        <w:rPr>
          <w:rFonts w:hint="eastAsia" w:ascii="仿宋" w:hAnsi="仿宋" w:eastAsia="仿宋" w:cs="仿宋"/>
          <w:sz w:val="32"/>
          <w:szCs w:val="32"/>
        </w:rPr>
        <w:t>15米（直径）×13.5米（高）</w:t>
      </w:r>
      <w:r>
        <w:rPr>
          <w:rFonts w:hint="eastAsia" w:ascii="仿宋_GB2312" w:hAnsi="宋体" w:eastAsia="仿宋_GB2312"/>
          <w:sz w:val="32"/>
          <w:szCs w:val="32"/>
        </w:rPr>
        <w:t>，敞口式，因其位置不符合要求，且未经正规设计，故决定拆除，拆除前已停用。该污水罐外围绕罐体有脚手架，脚手架高10.5米，从下至上共7层，每层1.5米。脚手架部分钢管腐蚀严重，存在裂纹；脚手架钢管和铸铁扣件未提供出检测证明；脚手架搭设不规范，脚手板未铺满、作业面无防护栏、无踢脚板、无扫地杆；未挂警示牌及使用许可牌。有关情况见图3、图4和图5。</w:t>
      </w:r>
    </w:p>
    <w:p>
      <w:pPr>
        <w:pStyle w:val="2"/>
        <w:jc w:val="center"/>
        <w:rPr>
          <w:rFonts w:ascii="仿宋_GB2312" w:hAnsi="宋体" w:eastAsia="仿宋_GB2312"/>
          <w:sz w:val="32"/>
          <w:szCs w:val="32"/>
        </w:rPr>
      </w:pPr>
      <w:r>
        <w:rPr>
          <w:rFonts w:hint="eastAsia" w:ascii="仿宋_GB2312" w:hAnsi="宋体" w:eastAsia="仿宋_GB2312"/>
          <w:sz w:val="28"/>
          <w:szCs w:val="28"/>
        </w:rPr>
        <w:drawing>
          <wp:inline distT="0" distB="0" distL="114300" distR="114300">
            <wp:extent cx="4639310" cy="4173220"/>
            <wp:effectExtent l="0" t="0" r="8890" b="17780"/>
            <wp:docPr id="15" name="图片 1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1"/>
                    <pic:cNvPicPr>
                      <a:picLocks noChangeAspect="1"/>
                    </pic:cNvPicPr>
                  </pic:nvPicPr>
                  <pic:blipFill>
                    <a:blip r:embed="rId7" cstate="print"/>
                    <a:srcRect b="32501"/>
                    <a:stretch>
                      <a:fillRect/>
                    </a:stretch>
                  </pic:blipFill>
                  <pic:spPr>
                    <a:xfrm>
                      <a:off x="0" y="0"/>
                      <a:ext cx="4639310" cy="4173220"/>
                    </a:xfrm>
                    <a:prstGeom prst="rect">
                      <a:avLst/>
                    </a:prstGeom>
                  </pic:spPr>
                </pic:pic>
              </a:graphicData>
            </a:graphic>
          </wp:inline>
        </w:drawing>
      </w:r>
    </w:p>
    <w:p>
      <w:pPr>
        <w:pStyle w:val="2"/>
        <w:jc w:val="center"/>
        <w:rPr>
          <w:rFonts w:ascii="仿宋_GB2312" w:hAnsi="宋体" w:eastAsia="仿宋_GB2312"/>
          <w:sz w:val="32"/>
          <w:szCs w:val="32"/>
        </w:rPr>
      </w:pPr>
      <w:r>
        <w:rPr>
          <w:rFonts w:hint="eastAsia" w:ascii="仿宋_GB2312" w:hAnsi="宋体" w:eastAsia="仿宋_GB2312"/>
          <w:sz w:val="24"/>
          <w:szCs w:val="24"/>
        </w:rPr>
        <w:t>图3左侧已拆除的1#污水罐和右侧正拆除的0#污水罐</w:t>
      </w:r>
    </w:p>
    <w:p>
      <w:pPr>
        <w:pStyle w:val="2"/>
        <w:jc w:val="center"/>
        <w:rPr>
          <w:rFonts w:ascii="仿宋_GB2312" w:hAnsi="宋体" w:eastAsia="仿宋_GB2312"/>
          <w:sz w:val="32"/>
          <w:szCs w:val="32"/>
        </w:rPr>
      </w:pPr>
      <w:r>
        <w:rPr>
          <w:rFonts w:hint="eastAsia" w:ascii="仿宋_GB2312" w:hAnsi="宋体" w:eastAsia="仿宋_GB2312"/>
          <w:sz w:val="32"/>
          <w:szCs w:val="32"/>
        </w:rPr>
        <w:drawing>
          <wp:inline distT="0" distB="0" distL="114300" distR="114300">
            <wp:extent cx="4787900" cy="5254625"/>
            <wp:effectExtent l="0" t="0" r="12700" b="3175"/>
            <wp:docPr id="10" name="图片 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
                    <pic:cNvPicPr>
                      <a:picLocks noChangeAspect="1"/>
                    </pic:cNvPicPr>
                  </pic:nvPicPr>
                  <pic:blipFill>
                    <a:blip r:embed="rId8" cstate="print"/>
                    <a:stretch>
                      <a:fillRect/>
                    </a:stretch>
                  </pic:blipFill>
                  <pic:spPr>
                    <a:xfrm>
                      <a:off x="0" y="0"/>
                      <a:ext cx="4787900" cy="5254625"/>
                    </a:xfrm>
                    <a:prstGeom prst="rect">
                      <a:avLst/>
                    </a:prstGeom>
                  </pic:spPr>
                </pic:pic>
              </a:graphicData>
            </a:graphic>
          </wp:inline>
        </w:drawing>
      </w:r>
    </w:p>
    <w:p>
      <w:pPr>
        <w:pStyle w:val="2"/>
        <w:jc w:val="center"/>
        <w:rPr>
          <w:rFonts w:ascii="仿宋_GB2312" w:hAnsi="宋体" w:eastAsia="仿宋_GB2312"/>
          <w:sz w:val="32"/>
          <w:szCs w:val="32"/>
        </w:rPr>
      </w:pPr>
      <w:r>
        <w:rPr>
          <w:rFonts w:hint="eastAsia" w:ascii="仿宋_GB2312" w:hAnsi="宋体" w:eastAsia="仿宋_GB2312"/>
          <w:sz w:val="24"/>
          <w:szCs w:val="24"/>
        </w:rPr>
        <w:t>图4 污水罐外部及脚手架</w:t>
      </w:r>
    </w:p>
    <w:p>
      <w:pPr>
        <w:pStyle w:val="2"/>
        <w:jc w:val="center"/>
        <w:rPr>
          <w:rFonts w:ascii="仿宋_GB2312" w:hAnsi="宋体" w:eastAsia="仿宋_GB2312"/>
          <w:sz w:val="32"/>
          <w:szCs w:val="32"/>
        </w:rPr>
      </w:pPr>
      <w:r>
        <w:rPr>
          <w:rFonts w:hint="eastAsia" w:ascii="仿宋_GB2312" w:hAnsi="宋体" w:eastAsia="仿宋_GB2312"/>
          <w:sz w:val="32"/>
          <w:szCs w:val="32"/>
        </w:rPr>
        <w:drawing>
          <wp:inline distT="0" distB="0" distL="114300" distR="114300">
            <wp:extent cx="4634230" cy="3097530"/>
            <wp:effectExtent l="0" t="0" r="13970" b="7620"/>
            <wp:docPr id="14" name="图片 14" descr="1709793649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09793649294"/>
                    <pic:cNvPicPr>
                      <a:picLocks noChangeAspect="1"/>
                    </pic:cNvPicPr>
                  </pic:nvPicPr>
                  <pic:blipFill>
                    <a:blip r:embed="rId9" cstate="print"/>
                    <a:stretch>
                      <a:fillRect/>
                    </a:stretch>
                  </pic:blipFill>
                  <pic:spPr>
                    <a:xfrm>
                      <a:off x="0" y="0"/>
                      <a:ext cx="4634230" cy="3097530"/>
                    </a:xfrm>
                    <a:prstGeom prst="rect">
                      <a:avLst/>
                    </a:prstGeom>
                  </pic:spPr>
                </pic:pic>
              </a:graphicData>
            </a:graphic>
          </wp:inline>
        </w:drawing>
      </w:r>
    </w:p>
    <w:p>
      <w:pPr>
        <w:pStyle w:val="2"/>
        <w:jc w:val="center"/>
        <w:rPr>
          <w:rFonts w:ascii="仿宋_GB2312" w:hAnsi="宋体" w:eastAsia="仿宋_GB2312"/>
          <w:sz w:val="32"/>
          <w:szCs w:val="32"/>
        </w:rPr>
      </w:pPr>
      <w:r>
        <w:rPr>
          <w:rFonts w:hint="eastAsia" w:ascii="仿宋_GB2312" w:hAnsi="宋体" w:eastAsia="仿宋_GB2312"/>
          <w:sz w:val="24"/>
          <w:szCs w:val="24"/>
        </w:rPr>
        <w:t>图5 污水罐内部</w:t>
      </w:r>
    </w:p>
    <w:p>
      <w:pPr>
        <w:pStyle w:val="14"/>
        <w:numPr>
          <w:ilvl w:val="0"/>
          <w:numId w:val="0"/>
        </w:numPr>
        <w:spacing w:line="560" w:lineRule="exact"/>
        <w:ind w:firstLine="640" w:firstLineChars="200"/>
      </w:pPr>
      <w:r>
        <w:rPr>
          <w:rFonts w:hint="eastAsia"/>
        </w:rPr>
        <w:t>二、事故经过及救援情况</w:t>
      </w:r>
    </w:p>
    <w:p>
      <w:pPr>
        <w:spacing w:line="360" w:lineRule="auto"/>
        <w:ind w:firstLine="643" w:firstLineChars="200"/>
        <w:rPr>
          <w:rFonts w:ascii="仿宋_GB2312" w:hAnsi="仿宋_GB2312" w:eastAsia="仿宋_GB2312" w:cs="仿宋_GB2312"/>
          <w:sz w:val="32"/>
          <w:szCs w:val="32"/>
        </w:rPr>
      </w:pPr>
      <w:r>
        <w:rPr>
          <w:rFonts w:hint="eastAsia" w:ascii="楷体" w:hAnsi="楷体" w:eastAsia="楷体" w:cs="楷体"/>
          <w:b/>
          <w:bCs/>
          <w:sz w:val="32"/>
          <w:szCs w:val="32"/>
        </w:rPr>
        <w:t>（一）事故发生经过</w:t>
      </w:r>
    </w:p>
    <w:p>
      <w:pPr>
        <w:spacing w:line="560" w:lineRule="exact"/>
        <w:ind w:firstLine="640" w:firstLineChars="200"/>
        <w:rPr>
          <w:rFonts w:ascii="仿宋_GB2312" w:hAnsi="仿宋_GB2312" w:eastAsia="仿宋_GB2312" w:cs="仿宋_GB2312"/>
          <w:sz w:val="30"/>
          <w:szCs w:val="30"/>
        </w:rPr>
      </w:pPr>
      <w:r>
        <w:rPr>
          <w:rFonts w:hint="eastAsia" w:ascii="仿宋_GB2312" w:hAnsi="仿宋_GB2312" w:eastAsia="仿宋_GB2312" w:cs="仿宋_GB2312"/>
          <w:sz w:val="32"/>
          <w:szCs w:val="32"/>
        </w:rPr>
        <w:t>2024年1月17日8时许，辽宁森源公司安全员刘宪贵在施工现场组织特殊作业开票，进行了用电、灭火器、人员安全绳佩戴确认，使用便携氨气检测仪对罐体外部周边进行检测。机动设备部维修主任李光利在签发完动火作业、高处作业及临时用电作业等特殊作业票后，安排污水处理车间主任崔连伟进行罐体划线，安排焊工何顺良在脚手架上使用等离子切割机对0#污水罐进行拆除作业，同时要求崔连伟协助并监护何顺良作业，安全员刘宪贵在地面负责安全监督。</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时20分许，何顺良在对污水罐进行切割时，引燃罐内壁附着物，附着物起火、并伴有大量浓烟，何顺良用锤子击打切割周边部位，试图将附在罐内壁的可燃物敲打下去，崔连伟尝试在污水罐上部使用灭火器进行灭火，上述措施均无效果，后来何顺良和崔连伟从脚手架上下来。9时30分许，辽宁森源公司组织人员接设消防水带，在地面进行灭火施救，但火情未得到缓解。9时46分许，辽宁森源公司拨打了119救援电话。</w:t>
      </w:r>
    </w:p>
    <w:p>
      <w:pPr>
        <w:spacing w:line="560" w:lineRule="exact"/>
        <w:ind w:firstLine="630"/>
        <w:jc w:val="left"/>
      </w:pPr>
      <w:r>
        <w:rPr>
          <w:rFonts w:hint="eastAsia" w:ascii="楷体" w:hAnsi="楷体" w:eastAsia="楷体" w:cs="楷体"/>
          <w:b/>
          <w:bCs/>
          <w:sz w:val="32"/>
          <w:szCs w:val="32"/>
        </w:rPr>
        <w:t>（二）事故救援情况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时40分许，高新区应急局接到园区保安关于辽宁森源公司发生火灾的报告，高新区应急局立即组织人员到现场进行处置，并逐级汇报。9时56分，消防救援队伍到达现场灭火。随后，公安、环保等部门陆续到达现场。10时20分，现场火势得到控制。10时25分，现场火灭。</w:t>
      </w:r>
    </w:p>
    <w:p>
      <w:pPr>
        <w:pStyle w:val="14"/>
        <w:numPr>
          <w:ilvl w:val="0"/>
          <w:numId w:val="0"/>
        </w:numPr>
        <w:spacing w:line="560" w:lineRule="exact"/>
        <w:ind w:firstLine="640" w:firstLineChars="200"/>
      </w:pPr>
      <w:r>
        <w:rPr>
          <w:rFonts w:hint="eastAsia"/>
        </w:rPr>
        <w:t>三、事故</w:t>
      </w:r>
      <w:r>
        <w:t>造成的人员伤亡和直接经济损失</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此起火灾事故无人员伤亡，直接经济损失约500元。</w:t>
      </w:r>
    </w:p>
    <w:p>
      <w:pPr>
        <w:spacing w:line="560" w:lineRule="exact"/>
        <w:ind w:firstLine="640" w:firstLineChars="200"/>
        <w:rPr>
          <w:rFonts w:ascii="Times New Roman" w:hAnsi="Times New Roman" w:eastAsia="黑体" w:cs="Times New Roman"/>
          <w:kern w:val="0"/>
          <w:sz w:val="32"/>
          <w:szCs w:val="32"/>
        </w:rPr>
      </w:pPr>
      <w:r>
        <w:rPr>
          <w:rFonts w:hint="eastAsia" w:ascii="Times New Roman" w:hAnsi="Times New Roman" w:eastAsia="黑体" w:cs="Times New Roman"/>
          <w:kern w:val="0"/>
          <w:sz w:val="32"/>
          <w:szCs w:val="32"/>
        </w:rPr>
        <w:t>四、技术鉴定情况</w:t>
      </w:r>
    </w:p>
    <w:p>
      <w:pPr>
        <w:pStyle w:val="10"/>
        <w:spacing w:line="560" w:lineRule="exact"/>
        <w:ind w:firstLine="640"/>
        <w:rPr>
          <w:rFonts w:hint="default" w:ascii="仿宋" w:hAnsi="仿宋" w:eastAsia="仿宋" w:cs="仿宋"/>
          <w:kern w:val="2"/>
        </w:rPr>
      </w:pPr>
      <w:r>
        <w:rPr>
          <w:rFonts w:ascii="仿宋" w:hAnsi="仿宋" w:eastAsia="仿宋" w:cs="仿宋"/>
          <w:kern w:val="2"/>
        </w:rPr>
        <w:t>事故调查过程中，技术组专家出具了《辽宁森源化工股份有限公司“1•17”废弃污水罐切割着火事故调查专家组工作报告》、消防救援部门火灾调查人员出具了《辽宁森源化工股份有限公司“1•17”废弃污水罐切割着火事故起火原因分析报告》，生态环境部门出具了《关于辽宁森源化工股份有限公司火灾的情况说明》，有关情况如下：</w:t>
      </w:r>
    </w:p>
    <w:p>
      <w:pPr>
        <w:spacing w:line="560" w:lineRule="exact"/>
        <w:ind w:firstLine="643" w:firstLineChars="200"/>
        <w:rPr>
          <w:rFonts w:ascii="Times New Roman" w:hAnsi="Times New Roman" w:eastAsia="楷体_GB2312" w:cs="Times New Roman"/>
          <w:b/>
          <w:bCs/>
          <w:kern w:val="0"/>
          <w:sz w:val="32"/>
          <w:szCs w:val="32"/>
        </w:rPr>
      </w:pPr>
      <w:r>
        <w:rPr>
          <w:rFonts w:hint="eastAsia" w:ascii="Times New Roman" w:hAnsi="Times New Roman" w:eastAsia="楷体_GB2312" w:cs="Times New Roman"/>
          <w:b/>
          <w:bCs/>
          <w:kern w:val="0"/>
          <w:sz w:val="32"/>
          <w:szCs w:val="32"/>
        </w:rPr>
        <w:t>（一）工艺流程</w:t>
      </w:r>
    </w:p>
    <w:p>
      <w:pPr>
        <w:widowControl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该企业有2种产品方案，生产过程发生在对硝车间内，对应的产品分别为对硝基苯胺（危险化学品）、</w:t>
      </w:r>
      <w:bookmarkStart w:id="0" w:name="_Hlk157202995"/>
      <w:r>
        <w:rPr>
          <w:rFonts w:hint="eastAsia" w:ascii="仿宋_GB2312" w:hAnsi="宋体" w:eastAsia="仿宋_GB2312"/>
          <w:sz w:val="32"/>
          <w:szCs w:val="32"/>
        </w:rPr>
        <w:t>2,6-二氯-4-硝基苯胺</w:t>
      </w:r>
      <w:bookmarkEnd w:id="0"/>
      <w:r>
        <w:rPr>
          <w:rFonts w:hint="eastAsia" w:ascii="仿宋_GB2312" w:hAnsi="宋体" w:eastAsia="仿宋_GB2312"/>
          <w:sz w:val="32"/>
          <w:szCs w:val="32"/>
        </w:rPr>
        <w:t>。反应方程式如下：</w:t>
      </w:r>
    </w:p>
    <w:p>
      <w:pPr>
        <w:widowControl w:val="0"/>
        <w:jc w:val="center"/>
        <w:rPr>
          <w:rFonts w:ascii="仿宋_GB2312" w:hAnsi="宋体" w:eastAsia="仿宋_GB2312"/>
          <w:sz w:val="28"/>
          <w:szCs w:val="28"/>
        </w:rPr>
      </w:pPr>
      <w:r>
        <w:rPr>
          <w:rFonts w:hint="eastAsia" w:ascii="仿宋_GB2312" w:hAnsi="宋体" w:eastAsia="仿宋_GB2312"/>
          <w:sz w:val="28"/>
          <w:szCs w:val="28"/>
        </w:rPr>
        <w:drawing>
          <wp:inline distT="0" distB="0" distL="0" distR="0">
            <wp:extent cx="3474720" cy="867410"/>
            <wp:effectExtent l="0" t="0" r="0" b="889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495727" cy="872879"/>
                    </a:xfrm>
                    <a:prstGeom prst="rect">
                      <a:avLst/>
                    </a:prstGeom>
                    <a:noFill/>
                    <a:ln>
                      <a:noFill/>
                    </a:ln>
                  </pic:spPr>
                </pic:pic>
              </a:graphicData>
            </a:graphic>
          </wp:inline>
        </w:drawing>
      </w:r>
    </w:p>
    <w:p>
      <w:pPr>
        <w:widowControl w:val="0"/>
        <w:ind w:firstLine="1200" w:firstLineChars="500"/>
        <w:rPr>
          <w:rFonts w:ascii="仿宋_GB2312" w:hAnsi="宋体" w:eastAsia="仿宋_GB2312"/>
          <w:sz w:val="28"/>
          <w:szCs w:val="28"/>
        </w:rPr>
      </w:pPr>
      <w:r>
        <w:rPr>
          <w:rFonts w:hint="eastAsia" w:ascii="仿宋_GB2312" w:hAnsi="宋体" w:eastAsia="仿宋_GB2312"/>
          <w:sz w:val="24"/>
          <w:szCs w:val="24"/>
        </w:rPr>
        <w:t>对硝基氯苯    氨水             对硝基苯胺  氯化铵</w:t>
      </w:r>
    </w:p>
    <w:p>
      <w:pPr>
        <w:widowControl w:val="0"/>
        <w:jc w:val="center"/>
        <w:rPr>
          <w:rFonts w:ascii="仿宋_GB2312" w:hAnsi="宋体" w:eastAsia="仿宋_GB2312"/>
          <w:sz w:val="28"/>
          <w:szCs w:val="28"/>
        </w:rPr>
      </w:pPr>
    </w:p>
    <w:p>
      <w:pPr>
        <w:widowControl w:val="0"/>
        <w:jc w:val="center"/>
        <w:rPr>
          <w:rFonts w:ascii="仿宋_GB2312" w:hAnsi="宋体" w:eastAsia="仿宋_GB2312"/>
          <w:sz w:val="28"/>
          <w:szCs w:val="28"/>
        </w:rPr>
      </w:pPr>
      <w:r>
        <w:rPr>
          <w:rFonts w:hint="eastAsia" w:ascii="仿宋_GB2312" w:hAnsi="宋体" w:eastAsia="仿宋_GB2312"/>
          <w:sz w:val="28"/>
          <w:szCs w:val="28"/>
        </w:rPr>
        <w:drawing>
          <wp:inline distT="0" distB="0" distL="0" distR="0">
            <wp:extent cx="3535680" cy="912495"/>
            <wp:effectExtent l="0" t="0" r="7620"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590209" cy="926849"/>
                    </a:xfrm>
                    <a:prstGeom prst="rect">
                      <a:avLst/>
                    </a:prstGeom>
                    <a:noFill/>
                    <a:ln>
                      <a:noFill/>
                    </a:ln>
                  </pic:spPr>
                </pic:pic>
              </a:graphicData>
            </a:graphic>
          </wp:inline>
        </w:drawing>
      </w:r>
    </w:p>
    <w:p>
      <w:pPr>
        <w:widowControl w:val="0"/>
        <w:ind w:firstLine="960" w:firstLineChars="400"/>
        <w:rPr>
          <w:rFonts w:ascii="仿宋_GB2312" w:hAnsi="宋体" w:eastAsia="仿宋_GB2312"/>
          <w:sz w:val="28"/>
          <w:szCs w:val="28"/>
        </w:rPr>
      </w:pPr>
      <w:r>
        <w:rPr>
          <w:rFonts w:hint="eastAsia" w:ascii="仿宋_GB2312" w:hAnsi="宋体" w:eastAsia="仿宋_GB2312"/>
          <w:sz w:val="24"/>
          <w:szCs w:val="24"/>
        </w:rPr>
        <w:t>对硝基苯胺     氯        2,6-二氯-4-硝基苯胺   盐酸</w:t>
      </w:r>
    </w:p>
    <w:p>
      <w:pPr>
        <w:widowControl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废弃储罐内污水来源自对硝车间的水洗工序，其中的水洗釜主要用于氨化釜内对硝基苯胺产物水洗。具体为：氨化釜内反应结束、经过尾气回收氨后，利用压缩空气将氨化釜内物料压入水洗釜，向釜内通入清水进行洗料，经过离心分离机后的废水进入水处理工序。</w:t>
      </w:r>
    </w:p>
    <w:p>
      <w:pPr>
        <w:widowControl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水处理工序包括2套装置。其中1套为对硝基苯胺生产装置的含氯化铵废水处理，包括大孔树脂吸附、三效蒸发、中和等工序。其目的是回收废水中的氯化铵，并进行中和等措施后，使污水达到排放标准。另1套为2,6-二氯-4-硝基苯胺生产装置的盐酸提浓回用。</w:t>
      </w:r>
    </w:p>
    <w:p>
      <w:pPr>
        <w:widowControl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经水处理后，未达标的废水排入此次造成事故的废水罐内。该企业共设置2座废水罐，南北布置，2座废水罐在地面标高0.5m处设置2条连通管，废水首先进入北侧的废水罐。</w:t>
      </w:r>
    </w:p>
    <w:p>
      <w:pPr>
        <w:widowControl w:val="0"/>
        <w:spacing w:line="56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（二）事故污水罐内物料成分分析</w:t>
      </w:r>
    </w:p>
    <w:p>
      <w:pPr>
        <w:widowControl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由上述工艺流程分析可知，涉及的废水为对硝车间内氨化釜内物料的水洗产物，为氨化、水洗、分离洗料后产生的废水，其含有的主要物质为：水、氯化铵、对硝基苯胺等。</w:t>
      </w: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由《危险化学品目录（2015版）》及《危险化学品安全技术全书（第三版）》（化学工业出版社）可知：</w:t>
      </w: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1.对硝基苯胺为危险化学品，目录序号为2231；CAS号为100-01-6；外观和形状为黄色结晶或粉末；闪点为199℃，自燃温度为180℃；危险性类别为急性毒性-经口/经皮/吸入，类别3；</w:t>
      </w: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2.氯化铵为无色晶体或白色颗粒性粉末，易溶于水，不具有燃烧性，对皮肤、粘膜有刺激性。</w:t>
      </w:r>
    </w:p>
    <w:p>
      <w:pPr>
        <w:pStyle w:val="2"/>
        <w:rPr>
          <w:rFonts w:ascii="仿宋_GB2312" w:hAnsi="宋体" w:eastAsia="仿宋_GB2312"/>
          <w:sz w:val="32"/>
          <w:szCs w:val="32"/>
        </w:rPr>
      </w:pPr>
    </w:p>
    <w:p>
      <w:pPr>
        <w:pStyle w:val="2"/>
        <w:rPr>
          <w:rFonts w:ascii="仿宋_GB2312" w:hAnsi="宋体" w:eastAsia="仿宋_GB2312"/>
          <w:sz w:val="32"/>
          <w:szCs w:val="32"/>
        </w:rPr>
      </w:pPr>
    </w:p>
    <w:p>
      <w:pPr>
        <w:pStyle w:val="2"/>
        <w:rPr>
          <w:rFonts w:ascii="仿宋_GB2312" w:hAnsi="宋体" w:eastAsia="仿宋_GB2312"/>
          <w:sz w:val="32"/>
          <w:szCs w:val="32"/>
        </w:rPr>
      </w:pPr>
    </w:p>
    <w:p>
      <w:pPr>
        <w:pStyle w:val="11"/>
        <w:numPr>
          <w:ilvl w:val="0"/>
          <w:numId w:val="0"/>
        </w:numPr>
        <w:spacing w:line="560" w:lineRule="exact"/>
        <w:ind w:firstLine="643" w:firstLineChars="200"/>
        <w:rPr>
          <w:rFonts w:hint="default"/>
          <w:b/>
          <w:bCs/>
        </w:rPr>
      </w:pPr>
      <w:r>
        <w:rPr>
          <w:b/>
          <w:bCs/>
        </w:rPr>
        <w:t>（三）着火点分析</w:t>
      </w: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经过现场勘查，着火的切割点位于</w:t>
      </w:r>
      <w:r>
        <w:rPr>
          <w:rFonts w:hint="eastAsia" w:ascii="仿宋_GB2312" w:hAnsi="仿宋_GB2312" w:eastAsia="仿宋_GB2312" w:cs="仿宋_GB2312"/>
          <w:sz w:val="32"/>
          <w:szCs w:val="32"/>
        </w:rPr>
        <w:t>污水罐</w:t>
      </w:r>
      <w:r>
        <w:rPr>
          <w:rFonts w:hint="eastAsia" w:ascii="仿宋_GB2312" w:hAnsi="宋体" w:eastAsia="仿宋_GB2312"/>
          <w:sz w:val="32"/>
          <w:szCs w:val="32"/>
        </w:rPr>
        <w:t>西北侧11.25米高度位置，产生的高温、火花造成罐壁附着残留的可燃物燃烧引发火灾，着火点见图6和图7。</w:t>
      </w:r>
    </w:p>
    <w:p>
      <w:pPr>
        <w:jc w:val="center"/>
        <w:rPr>
          <w:rFonts w:ascii="仿宋_GB2312" w:hAnsi="宋体" w:eastAsia="仿宋_GB2312"/>
          <w:sz w:val="32"/>
          <w:szCs w:val="32"/>
        </w:rPr>
      </w:pPr>
      <w:r>
        <w:rPr>
          <w:rFonts w:hint="eastAsia" w:ascii="仿宋_GB2312" w:hAnsi="宋体" w:eastAsia="仿宋_GB2312"/>
          <w:sz w:val="32"/>
          <w:szCs w:val="32"/>
        </w:rPr>
        <w:drawing>
          <wp:inline distT="0" distB="0" distL="114300" distR="114300">
            <wp:extent cx="4998085" cy="3277235"/>
            <wp:effectExtent l="0" t="0" r="12065" b="18415"/>
            <wp:docPr id="11" name="图片 1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
                    <pic:cNvPicPr>
                      <a:picLocks noChangeAspect="1"/>
                    </pic:cNvPicPr>
                  </pic:nvPicPr>
                  <pic:blipFill>
                    <a:blip r:embed="rId12" cstate="print"/>
                    <a:stretch>
                      <a:fillRect/>
                    </a:stretch>
                  </pic:blipFill>
                  <pic:spPr>
                    <a:xfrm>
                      <a:off x="0" y="0"/>
                      <a:ext cx="4998085" cy="3277235"/>
                    </a:xfrm>
                    <a:prstGeom prst="rect">
                      <a:avLst/>
                    </a:prstGeom>
                  </pic:spPr>
                </pic:pic>
              </a:graphicData>
            </a:graphic>
          </wp:inline>
        </w:drawing>
      </w:r>
    </w:p>
    <w:p>
      <w:pPr>
        <w:jc w:val="center"/>
        <w:rPr>
          <w:rFonts w:ascii="仿宋_GB2312" w:hAnsi="宋体" w:eastAsia="仿宋_GB2312"/>
          <w:sz w:val="32"/>
          <w:szCs w:val="32"/>
        </w:rPr>
      </w:pPr>
      <w:r>
        <w:rPr>
          <w:rFonts w:hint="eastAsia" w:ascii="仿宋_GB2312" w:hAnsi="宋体" w:eastAsia="仿宋_GB2312"/>
          <w:sz w:val="24"/>
          <w:szCs w:val="24"/>
        </w:rPr>
        <w:t>图6 污水罐切割位置</w:t>
      </w:r>
    </w:p>
    <w:p>
      <w:pPr>
        <w:jc w:val="center"/>
        <w:rPr>
          <w:rFonts w:ascii="仿宋_GB2312" w:hAnsi="宋体" w:eastAsia="仿宋_GB2312"/>
          <w:sz w:val="32"/>
          <w:szCs w:val="32"/>
        </w:rPr>
      </w:pPr>
      <w:r>
        <w:rPr>
          <w:rFonts w:hint="eastAsia" w:ascii="仿宋_GB2312" w:hAnsi="宋体" w:eastAsia="仿宋_GB2312"/>
          <w:sz w:val="32"/>
          <w:szCs w:val="32"/>
        </w:rPr>
        <w:drawing>
          <wp:inline distT="0" distB="0" distL="114300" distR="114300">
            <wp:extent cx="5080635" cy="3159125"/>
            <wp:effectExtent l="0" t="0" r="5715" b="3175"/>
            <wp:docPr id="12" name="图片 1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
                    <pic:cNvPicPr>
                      <a:picLocks noChangeAspect="1"/>
                    </pic:cNvPicPr>
                  </pic:nvPicPr>
                  <pic:blipFill>
                    <a:blip r:embed="rId13" cstate="print"/>
                    <a:stretch>
                      <a:fillRect/>
                    </a:stretch>
                  </pic:blipFill>
                  <pic:spPr>
                    <a:xfrm>
                      <a:off x="0" y="0"/>
                      <a:ext cx="5080635" cy="3159125"/>
                    </a:xfrm>
                    <a:prstGeom prst="rect">
                      <a:avLst/>
                    </a:prstGeom>
                  </pic:spPr>
                </pic:pic>
              </a:graphicData>
            </a:graphic>
          </wp:inline>
        </w:drawing>
      </w:r>
    </w:p>
    <w:p>
      <w:pPr>
        <w:pStyle w:val="14"/>
        <w:numPr>
          <w:ilvl w:val="0"/>
          <w:numId w:val="0"/>
        </w:numPr>
        <w:spacing w:line="560" w:lineRule="exact"/>
        <w:ind w:firstLine="480" w:firstLineChars="200"/>
        <w:jc w:val="center"/>
        <w:rPr>
          <w:rFonts w:ascii="仿宋_GB2312" w:hAnsi="宋体" w:eastAsia="仿宋_GB2312"/>
          <w:sz w:val="24"/>
          <w:szCs w:val="24"/>
        </w:rPr>
      </w:pPr>
      <w:r>
        <w:rPr>
          <w:rFonts w:hint="eastAsia" w:ascii="仿宋_GB2312" w:hAnsi="宋体" w:eastAsia="仿宋_GB2312" w:cstheme="minorBidi"/>
          <w:kern w:val="2"/>
          <w:sz w:val="24"/>
          <w:szCs w:val="24"/>
        </w:rPr>
        <w:t xml:space="preserve">图7 </w:t>
      </w:r>
      <w:r>
        <w:rPr>
          <w:rFonts w:hint="eastAsia" w:ascii="仿宋_GB2312" w:hAnsi="宋体" w:eastAsia="仿宋_GB2312"/>
          <w:sz w:val="24"/>
          <w:szCs w:val="24"/>
        </w:rPr>
        <w:t>污水罐内部着火点</w:t>
      </w:r>
    </w:p>
    <w:p>
      <w:pPr>
        <w:pStyle w:val="11"/>
        <w:numPr>
          <w:ilvl w:val="0"/>
          <w:numId w:val="0"/>
        </w:numPr>
        <w:spacing w:line="560" w:lineRule="exact"/>
        <w:ind w:firstLine="643" w:firstLineChars="200"/>
        <w:rPr>
          <w:rFonts w:hint="default"/>
          <w:b/>
          <w:bCs/>
        </w:rPr>
      </w:pPr>
      <w:r>
        <w:rPr>
          <w:b/>
          <w:bCs/>
        </w:rPr>
        <w:t>（四）事故对周围环境影响</w:t>
      </w:r>
    </w:p>
    <w:p>
      <w:pPr>
        <w:pStyle w:val="14"/>
        <w:numPr>
          <w:ilvl w:val="0"/>
          <w:numId w:val="0"/>
        </w:numPr>
        <w:spacing w:line="560" w:lineRule="exact"/>
        <w:ind w:firstLine="640" w:firstLineChars="200"/>
        <w:rPr>
          <w:rFonts w:ascii="仿宋_GB2312" w:hAnsi="宋体" w:eastAsia="仿宋_GB2312" w:cstheme="minorBidi"/>
          <w:kern w:val="2"/>
        </w:rPr>
      </w:pPr>
      <w:r>
        <w:rPr>
          <w:rFonts w:hint="eastAsia" w:ascii="仿宋_GB2312" w:hAnsi="仿宋_GB2312" w:eastAsia="仿宋_GB2312" w:cs="仿宋_GB2312"/>
        </w:rPr>
        <w:t>辽宁森源公司</w:t>
      </w:r>
      <w:r>
        <w:rPr>
          <w:rFonts w:hint="eastAsia" w:ascii="仿宋_GB2312" w:hAnsi="宋体" w:eastAsia="仿宋_GB2312" w:cstheme="minorBidi"/>
          <w:kern w:val="2"/>
        </w:rPr>
        <w:t>发现火情后，立即采取应急措施，将污水罐外排口阀门全部关闭，消防水全部通过雨排口收集进入应急事故池，未进入外环境，相关大气环境、水污染物监测显示没有造成环境影响。</w:t>
      </w:r>
    </w:p>
    <w:p>
      <w:pPr>
        <w:pStyle w:val="14"/>
        <w:numPr>
          <w:ilvl w:val="0"/>
          <w:numId w:val="0"/>
        </w:numPr>
        <w:spacing w:line="560" w:lineRule="exact"/>
        <w:ind w:firstLine="640" w:firstLineChars="200"/>
      </w:pPr>
      <w:r>
        <w:rPr>
          <w:rFonts w:hint="eastAsia"/>
        </w:rPr>
        <w:t>五、事故</w:t>
      </w:r>
      <w:r>
        <w:t>发生原因和</w:t>
      </w:r>
      <w:r>
        <w:rPr>
          <w:rFonts w:hint="eastAsia"/>
        </w:rPr>
        <w:t>事故</w:t>
      </w:r>
      <w:r>
        <w:t>性质</w:t>
      </w:r>
    </w:p>
    <w:p>
      <w:pPr>
        <w:pStyle w:val="11"/>
        <w:numPr>
          <w:ilvl w:val="0"/>
          <w:numId w:val="0"/>
        </w:numPr>
        <w:spacing w:line="560" w:lineRule="exact"/>
        <w:ind w:firstLine="643" w:firstLineChars="200"/>
        <w:rPr>
          <w:rFonts w:hint="default" w:ascii="仿宋" w:hAnsi="仿宋" w:eastAsia="仿宋" w:cs="仿宋"/>
        </w:rPr>
      </w:pPr>
      <w:r>
        <w:rPr>
          <w:b/>
          <w:bCs/>
        </w:rPr>
        <w:t>（一）直接原因</w:t>
      </w: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辽宁森源公司主要负责人和有关负责人履行安全生产管理职责不到位，在无有效施工方案、未采取可靠的安全措施的情况下，组织人员采用等离子切割设备对0#污水罐进行切割拆除作业，在污水罐西北侧11.25米高度位置，产生的高温、火花造成罐壁附着残留的可燃物燃烧引发火灾。</w:t>
      </w:r>
    </w:p>
    <w:p>
      <w:pPr>
        <w:numPr>
          <w:ilvl w:val="0"/>
          <w:numId w:val="2"/>
        </w:numPr>
        <w:spacing w:line="560" w:lineRule="exact"/>
        <w:ind w:firstLine="643" w:firstLineChars="200"/>
        <w:rPr>
          <w:rFonts w:ascii="Times New Roman" w:hAnsi="Times New Roman" w:eastAsia="楷体_GB2312" w:cs="Times New Roman"/>
          <w:b/>
          <w:bCs/>
          <w:kern w:val="0"/>
          <w:sz w:val="32"/>
          <w:szCs w:val="32"/>
        </w:rPr>
      </w:pPr>
      <w:r>
        <w:rPr>
          <w:rFonts w:hint="eastAsia" w:ascii="Times New Roman" w:hAnsi="Times New Roman" w:eastAsia="楷体_GB2312" w:cs="Times New Roman"/>
          <w:b/>
          <w:bCs/>
          <w:kern w:val="0"/>
          <w:sz w:val="32"/>
          <w:szCs w:val="32"/>
        </w:rPr>
        <w:t>间接原因</w:t>
      </w: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辽宁森源公司作业前安全风险辨识不到位，对高处、动火、吊装作业安全风险认识不足，尤其对罐壁残留可燃物的着火风险重视不够，编制的《储罐拆除施工方案》简单笼统，审批不规范、应急处置缺失，且未组织拆除人员有效学习贯彻，拆除作业前污水罐清洗、置换不彻底，现场作业应开具一级《动火安全作业票》，实际开具的是二级《动火安全作业票》，且无火灾预防控制措施</w:t>
      </w:r>
      <w:r>
        <w:rPr>
          <w:rFonts w:hint="eastAsia" w:ascii="仿宋_GB2312" w:hAnsi="宋体" w:eastAsia="仿宋_GB2312"/>
          <w:color w:val="0000FF"/>
          <w:sz w:val="32"/>
          <w:szCs w:val="32"/>
        </w:rPr>
        <w:t>。</w:t>
      </w:r>
    </w:p>
    <w:p>
      <w:pPr>
        <w:pStyle w:val="11"/>
        <w:numPr>
          <w:ilvl w:val="0"/>
          <w:numId w:val="0"/>
        </w:numPr>
        <w:spacing w:line="560" w:lineRule="exact"/>
        <w:ind w:firstLine="643" w:firstLineChars="200"/>
        <w:rPr>
          <w:rFonts w:hint="default"/>
          <w:b/>
          <w:bCs/>
        </w:rPr>
      </w:pPr>
      <w:r>
        <w:rPr>
          <w:b/>
          <w:bCs/>
        </w:rPr>
        <w:t>（三）事故性质</w:t>
      </w: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经调查认定，抚顺高新区辽宁森源化工股份有限公司 “</w:t>
      </w:r>
      <w:r>
        <w:rPr>
          <w:rFonts w:hint="eastAsia" w:ascii="仿宋" w:hAnsi="仿宋" w:eastAsia="仿宋" w:cs="仿宋"/>
          <w:bCs/>
          <w:color w:val="000000"/>
          <w:sz w:val="32"/>
          <w:szCs w:val="32"/>
        </w:rPr>
        <w:t>1•17</w:t>
      </w:r>
      <w:r>
        <w:rPr>
          <w:rFonts w:hint="eastAsia" w:ascii="仿宋_GB2312" w:hAnsi="宋体" w:eastAsia="仿宋_GB2312"/>
          <w:sz w:val="32"/>
          <w:szCs w:val="32"/>
        </w:rPr>
        <w:t>”火灾事故是一起生产安全责任事故。</w:t>
      </w:r>
    </w:p>
    <w:p>
      <w:pPr>
        <w:pStyle w:val="14"/>
        <w:numPr>
          <w:ilvl w:val="0"/>
          <w:numId w:val="0"/>
        </w:numPr>
        <w:spacing w:line="560" w:lineRule="exact"/>
        <w:ind w:firstLine="640" w:firstLineChars="200"/>
        <w:rPr>
          <w:color w:val="000000" w:themeColor="text1"/>
          <w:highlight w:val="yellow"/>
        </w:rPr>
      </w:pPr>
      <w:r>
        <w:rPr>
          <w:rFonts w:hint="eastAsia"/>
          <w:color w:val="000000" w:themeColor="text1"/>
        </w:rPr>
        <w:t>六、</w:t>
      </w:r>
      <w:r>
        <w:rPr>
          <w:rFonts w:ascii="黑体" w:hAnsi="黑体" w:cs="黑体"/>
          <w:bCs/>
          <w:kern w:val="1"/>
        </w:rPr>
        <w:t>对</w:t>
      </w:r>
      <w:r>
        <w:rPr>
          <w:rFonts w:hint="eastAsia" w:ascii="黑体" w:hAnsi="黑体" w:cs="黑体"/>
          <w:bCs/>
          <w:kern w:val="1"/>
        </w:rPr>
        <w:t>事故</w:t>
      </w:r>
      <w:r>
        <w:rPr>
          <w:rFonts w:ascii="黑体" w:hAnsi="黑体" w:cs="黑体"/>
          <w:bCs/>
          <w:kern w:val="1"/>
        </w:rPr>
        <w:t>责任</w:t>
      </w:r>
      <w:r>
        <w:rPr>
          <w:rFonts w:hint="eastAsia" w:ascii="黑体" w:hAnsi="黑体" w:cs="黑体"/>
          <w:bCs/>
          <w:kern w:val="1"/>
        </w:rPr>
        <w:t>人员</w:t>
      </w:r>
      <w:r>
        <w:rPr>
          <w:rFonts w:ascii="黑体" w:hAnsi="黑体" w:cs="黑体"/>
          <w:bCs/>
          <w:kern w:val="1"/>
        </w:rPr>
        <w:t>及</w:t>
      </w:r>
      <w:r>
        <w:rPr>
          <w:rFonts w:hint="eastAsia" w:ascii="黑体" w:hAnsi="黑体" w:cs="黑体"/>
          <w:bCs/>
          <w:kern w:val="1"/>
        </w:rPr>
        <w:t>责任</w:t>
      </w:r>
      <w:r>
        <w:rPr>
          <w:rFonts w:ascii="黑体" w:hAnsi="黑体" w:cs="黑体"/>
          <w:bCs/>
          <w:kern w:val="1"/>
        </w:rPr>
        <w:t>单位的处理建议</w:t>
      </w: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辽宁森源公司主要负责人</w:t>
      </w:r>
      <w:r>
        <w:rPr>
          <w:rFonts w:hint="eastAsia" w:ascii="仿宋_GB2312" w:hAnsi="仿宋_GB2312" w:eastAsia="仿宋_GB2312" w:cs="仿宋_GB2312"/>
          <w:kern w:val="0"/>
          <w:sz w:val="32"/>
          <w:szCs w:val="32"/>
        </w:rPr>
        <w:t>吕文成</w:t>
      </w:r>
      <w:r>
        <w:rPr>
          <w:rFonts w:hint="eastAsia" w:ascii="仿宋_GB2312" w:hAnsi="宋体" w:eastAsia="仿宋_GB2312"/>
          <w:sz w:val="32"/>
          <w:szCs w:val="32"/>
        </w:rPr>
        <w:t>和有关负责人</w:t>
      </w:r>
      <w:r>
        <w:rPr>
          <w:rFonts w:hint="eastAsia" w:ascii="仿宋_GB2312" w:hAnsi="仿宋_GB2312" w:eastAsia="仿宋_GB2312" w:cs="仿宋_GB2312"/>
          <w:sz w:val="32"/>
          <w:szCs w:val="32"/>
        </w:rPr>
        <w:t>李光利</w:t>
      </w:r>
      <w:r>
        <w:rPr>
          <w:rFonts w:hint="eastAsia" w:ascii="仿宋_GB2312" w:hAnsi="宋体" w:eastAsia="仿宋_GB2312"/>
          <w:sz w:val="32"/>
          <w:szCs w:val="32"/>
        </w:rPr>
        <w:t>履行安全生产管理职责不到位，辽宁森源公司在无有效施工方案、未采取可靠的安全措施的情况下，组织人员对废弃污水罐进行切割拆除作业，建议由高新区应急局依据《中华人民共和国安全生产法》对辽宁森源公司及</w:t>
      </w:r>
      <w:r>
        <w:rPr>
          <w:rFonts w:hint="eastAsia" w:ascii="仿宋_GB2312" w:hAnsi="仿宋_GB2312" w:eastAsia="仿宋_GB2312" w:cs="仿宋_GB2312"/>
          <w:kern w:val="0"/>
          <w:sz w:val="32"/>
          <w:szCs w:val="32"/>
        </w:rPr>
        <w:t>吕文成、</w:t>
      </w:r>
      <w:r>
        <w:rPr>
          <w:rFonts w:hint="eastAsia" w:ascii="仿宋_GB2312" w:hAnsi="仿宋_GB2312" w:eastAsia="仿宋_GB2312" w:cs="仿宋_GB2312"/>
          <w:sz w:val="32"/>
          <w:szCs w:val="32"/>
        </w:rPr>
        <w:t>李光利的上述</w:t>
      </w:r>
      <w:r>
        <w:rPr>
          <w:rFonts w:hint="eastAsia" w:ascii="仿宋_GB2312" w:hAnsi="宋体" w:eastAsia="仿宋_GB2312"/>
          <w:sz w:val="32"/>
          <w:szCs w:val="32"/>
        </w:rPr>
        <w:t>违法行为进行处理。</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七、事故防范与整改措施建议</w:t>
      </w: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为认真吸取事故教训，防止类似事故的发生，通过对事故的分析，针对存在的问题，提出以下事故防范与整改措施建议：</w:t>
      </w:r>
    </w:p>
    <w:p>
      <w:pPr>
        <w:spacing w:line="560" w:lineRule="exact"/>
        <w:ind w:firstLine="560"/>
        <w:rPr>
          <w:rFonts w:ascii="仿宋_GB2312" w:hAnsi="宋体" w:eastAsia="仿宋_GB2312"/>
          <w:sz w:val="32"/>
          <w:szCs w:val="32"/>
        </w:rPr>
      </w:pPr>
      <w:r>
        <w:rPr>
          <w:rFonts w:hint="eastAsia" w:ascii="仿宋_GB2312" w:hAnsi="宋体" w:eastAsia="仿宋_GB2312"/>
          <w:sz w:val="32"/>
          <w:szCs w:val="32"/>
        </w:rPr>
        <w:t>一是辽宁森源公司要严格按照《中华人民共和国安全生产法》等法律法规要求开展生产经营活动，要落实好企业安全生产主体责任及全员安全生产责任制，要提升安全生产意识，全面加强安全生产管理。</w:t>
      </w:r>
    </w:p>
    <w:p>
      <w:pPr>
        <w:spacing w:line="560" w:lineRule="exact"/>
        <w:ind w:firstLine="560"/>
        <w:rPr>
          <w:rFonts w:ascii="仿宋_GB2312" w:hAnsi="宋体" w:eastAsia="仿宋_GB2312"/>
          <w:sz w:val="32"/>
          <w:szCs w:val="32"/>
        </w:rPr>
      </w:pPr>
      <w:r>
        <w:rPr>
          <w:rFonts w:hint="eastAsia" w:ascii="仿宋_GB2312" w:hAnsi="宋体" w:eastAsia="仿宋_GB2312"/>
          <w:sz w:val="32"/>
          <w:szCs w:val="32"/>
        </w:rPr>
        <w:t>二是辽宁森源公司要落实好安全风险分级管控和隐患排查治理双重预防工作机制，作业前要做好安全风险辨识，对危险作业、特殊作业、承包商外来施工等关键环节要严格按照有关要求加强监督，确保作业安全。</w:t>
      </w:r>
    </w:p>
    <w:p>
      <w:pPr>
        <w:widowControl w:val="0"/>
        <w:spacing w:line="560" w:lineRule="exact"/>
        <w:ind w:firstLine="561"/>
        <w:rPr>
          <w:rFonts w:ascii="仿宋" w:hAnsi="仿宋" w:eastAsia="仿宋" w:cs="仿宋"/>
          <w:sz w:val="32"/>
          <w:szCs w:val="32"/>
        </w:rPr>
      </w:pPr>
      <w:r>
        <w:rPr>
          <w:rFonts w:hint="eastAsia" w:ascii="仿宋_GB2312" w:hAnsi="宋体" w:eastAsia="仿宋_GB2312"/>
          <w:sz w:val="32"/>
          <w:szCs w:val="32"/>
        </w:rPr>
        <w:t>三是高新区管委会要进一步完善安全生产管理体系，统筹协调应急、生态环境、市场、建设管理、经济发展等部门，按照各自工作职责加强对危化企业的综合监管，适时开展安全生产工作会商，加强安全风险研判和信息共享，监督指导企业落实好安全生产主体责任，确保安全生产形势稳定向好。</w:t>
      </w:r>
    </w:p>
    <w:p>
      <w:pPr>
        <w:ind w:firstLine="3840" w:firstLineChars="1200"/>
        <w:rPr>
          <w:rFonts w:ascii="仿宋" w:hAnsi="仿宋" w:eastAsia="仿宋" w:cs="仿宋"/>
          <w:sz w:val="32"/>
          <w:szCs w:val="32"/>
        </w:rPr>
      </w:pPr>
    </w:p>
    <w:p>
      <w:pPr>
        <w:ind w:firstLine="3840" w:firstLineChars="1200"/>
        <w:rPr>
          <w:rFonts w:ascii="仿宋" w:hAnsi="仿宋" w:eastAsia="仿宋" w:cs="仿宋"/>
          <w:sz w:val="32"/>
          <w:szCs w:val="32"/>
        </w:rPr>
      </w:pPr>
    </w:p>
    <w:p>
      <w:pPr>
        <w:ind w:firstLine="3840" w:firstLineChars="1200"/>
        <w:rPr>
          <w:rFonts w:ascii="仿宋" w:hAnsi="仿宋" w:eastAsia="仿宋" w:cs="仿宋"/>
          <w:sz w:val="32"/>
          <w:szCs w:val="32"/>
        </w:rPr>
      </w:pPr>
    </w:p>
    <w:p>
      <w:pPr>
        <w:ind w:firstLine="3840" w:firstLineChars="1200"/>
        <w:rPr>
          <w:rFonts w:ascii="仿宋" w:hAnsi="仿宋" w:eastAsia="仿宋" w:cs="仿宋"/>
          <w:sz w:val="32"/>
          <w:szCs w:val="32"/>
        </w:rPr>
      </w:pPr>
      <w:bookmarkStart w:id="1" w:name="_GoBack"/>
      <w:bookmarkEnd w:id="1"/>
    </w:p>
    <w:p>
      <w:pPr>
        <w:spacing w:line="560" w:lineRule="exact"/>
        <w:jc w:val="center"/>
        <w:rPr>
          <w:rFonts w:ascii="仿宋" w:hAnsi="仿宋" w:eastAsia="仿宋" w:cs="仿宋"/>
          <w:sz w:val="32"/>
          <w:szCs w:val="32"/>
        </w:rPr>
      </w:pPr>
      <w:r>
        <w:rPr>
          <w:rFonts w:hint="eastAsia" w:ascii="仿宋" w:hAnsi="仿宋" w:eastAsia="仿宋" w:cs="仿宋"/>
          <w:sz w:val="32"/>
          <w:szCs w:val="32"/>
        </w:rPr>
        <w:t xml:space="preserve">                抚顺高新区辽宁森源化工股份有限公司</w:t>
      </w:r>
    </w:p>
    <w:p>
      <w:pPr>
        <w:spacing w:line="560" w:lineRule="exact"/>
        <w:jc w:val="center"/>
        <w:rPr>
          <w:rFonts w:ascii="仿宋" w:hAnsi="仿宋" w:eastAsia="仿宋" w:cs="仿宋"/>
          <w:sz w:val="32"/>
          <w:szCs w:val="32"/>
        </w:rPr>
      </w:pPr>
      <w:r>
        <w:rPr>
          <w:rFonts w:hint="eastAsia" w:ascii="仿宋" w:hAnsi="仿宋" w:eastAsia="仿宋" w:cs="仿宋"/>
          <w:sz w:val="32"/>
          <w:szCs w:val="32"/>
        </w:rPr>
        <w:t xml:space="preserve">                “</w:t>
      </w:r>
      <w:r>
        <w:rPr>
          <w:rFonts w:hint="eastAsia" w:ascii="仿宋" w:hAnsi="仿宋" w:eastAsia="仿宋" w:cs="仿宋"/>
          <w:bCs/>
          <w:color w:val="000000"/>
          <w:sz w:val="32"/>
          <w:szCs w:val="32"/>
        </w:rPr>
        <w:t>1•17</w:t>
      </w:r>
      <w:r>
        <w:rPr>
          <w:rFonts w:hint="eastAsia" w:ascii="仿宋" w:hAnsi="仿宋" w:eastAsia="仿宋" w:cs="仿宋"/>
          <w:sz w:val="32"/>
          <w:szCs w:val="32"/>
        </w:rPr>
        <w:t>”火灾事故调查组</w:t>
      </w:r>
    </w:p>
    <w:p>
      <w:pPr>
        <w:spacing w:line="560" w:lineRule="exact"/>
        <w:ind w:firstLine="4480" w:firstLineChars="1400"/>
        <w:rPr>
          <w:rFonts w:ascii="方正仿宋_GBK" w:hAnsi="微软雅黑" w:eastAsia="方正仿宋_GBK"/>
          <w:color w:val="333333"/>
          <w:sz w:val="28"/>
          <w:szCs w:val="28"/>
          <w:shd w:val="clear" w:color="auto" w:fill="FFFFFF"/>
        </w:rPr>
      </w:pPr>
      <w:r>
        <w:rPr>
          <w:rFonts w:hint="eastAsia" w:ascii="仿宋" w:hAnsi="仿宋" w:eastAsia="仿宋" w:cs="仿宋"/>
          <w:sz w:val="32"/>
          <w:szCs w:val="32"/>
        </w:rPr>
        <w:t>2024年3月2</w:t>
      </w:r>
      <w:r>
        <w:rPr>
          <w:rFonts w:hint="eastAsia" w:ascii="仿宋" w:hAnsi="仿宋" w:eastAsia="仿宋" w:cs="仿宋"/>
          <w:sz w:val="32"/>
          <w:szCs w:val="32"/>
          <w:lang w:val="en-US" w:eastAsia="zh-CN"/>
        </w:rPr>
        <w:t>1</w:t>
      </w:r>
      <w:r>
        <w:rPr>
          <w:rFonts w:hint="eastAsia" w:ascii="仿宋" w:hAnsi="仿宋" w:eastAsia="仿宋" w:cs="仿宋"/>
          <w:sz w:val="32"/>
          <w:szCs w:val="32"/>
        </w:rPr>
        <w:t>日</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0000000000000000000"/>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方正小标宋简体">
    <w:altName w:val="黑体"/>
    <w:panose1 w:val="00000000000000000000"/>
    <w:charset w:val="86"/>
    <w:family w:val="auto"/>
    <w:pitch w:val="default"/>
    <w:sig w:usb0="00000000" w:usb1="00000000" w:usb2="00000012" w:usb3="00000000" w:csb0="00040001"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仿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2"/>
                </w:pPr>
                <w:r>
                  <w:fldChar w:fldCharType="begin"/>
                </w:r>
                <w:r>
                  <w:instrText xml:space="preserve"> PAGE  \* MERGEFORMAT </w:instrText>
                </w:r>
                <w:r>
                  <w:fldChar w:fldCharType="separate"/>
                </w:r>
                <w:r>
                  <w:t>12</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7AA9A6"/>
    <w:multiLevelType w:val="multilevel"/>
    <w:tmpl w:val="AD7AA9A6"/>
    <w:lvl w:ilvl="0" w:tentative="0">
      <w:start w:val="1"/>
      <w:numFmt w:val="chineseCounting"/>
      <w:pStyle w:val="14"/>
      <w:suff w:val="nothing"/>
      <w:lvlText w:val="%1、"/>
      <w:lvlJc w:val="left"/>
      <w:pPr>
        <w:tabs>
          <w:tab w:val="left" w:pos="0"/>
        </w:tabs>
        <w:ind w:left="0" w:firstLine="680"/>
      </w:pPr>
      <w:rPr>
        <w:rFonts w:hint="eastAsia" w:ascii="Times New Roman" w:hAnsi="Times New Roman" w:eastAsia="黑体" w:cs="Times New Roman"/>
        <w:sz w:val="32"/>
        <w:szCs w:val="32"/>
      </w:rPr>
    </w:lvl>
    <w:lvl w:ilvl="1" w:tentative="0">
      <w:start w:val="1"/>
      <w:numFmt w:val="chineseCounting"/>
      <w:pStyle w:val="11"/>
      <w:suff w:val="nothing"/>
      <w:lvlText w:val="（%2）"/>
      <w:lvlJc w:val="left"/>
      <w:pPr>
        <w:ind w:left="0" w:firstLine="680"/>
      </w:pPr>
      <w:rPr>
        <w:rFonts w:hint="eastAsia" w:ascii="Times New Roman" w:hAnsi="Times New Roman" w:eastAsia="楷体_GB2312" w:cs="Times New Roman"/>
        <w:sz w:val="32"/>
        <w:szCs w:val="32"/>
      </w:rPr>
    </w:lvl>
    <w:lvl w:ilvl="2" w:tentative="0">
      <w:start w:val="1"/>
      <w:numFmt w:val="decimal"/>
      <w:pStyle w:val="12"/>
      <w:suff w:val="nothing"/>
      <w:lvlText w:val="%3."/>
      <w:lvlJc w:val="left"/>
      <w:pPr>
        <w:ind w:left="0" w:firstLine="680"/>
      </w:pPr>
      <w:rPr>
        <w:rFonts w:hint="eastAsia" w:ascii="Times New Roman" w:hAnsi="Times New Roman" w:eastAsia="仿宋_GB2312" w:cs="Times New Roman"/>
        <w:sz w:val="32"/>
        <w:szCs w:val="32"/>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
    <w:nsid w:val="355923F4"/>
    <w:multiLevelType w:val="singleLevel"/>
    <w:tmpl w:val="355923F4"/>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M2NDk5MGQzZjNiNTg2MjZlZTY5ZmUxYmY4YzE4MTMifQ=="/>
  </w:docVars>
  <w:rsids>
    <w:rsidRoot w:val="001858EF"/>
    <w:rsid w:val="00024D01"/>
    <w:rsid w:val="00036E38"/>
    <w:rsid w:val="00054525"/>
    <w:rsid w:val="00056277"/>
    <w:rsid w:val="00073B9D"/>
    <w:rsid w:val="000A7BC3"/>
    <w:rsid w:val="000B63B3"/>
    <w:rsid w:val="000C37A3"/>
    <w:rsid w:val="000E4A04"/>
    <w:rsid w:val="000F2C73"/>
    <w:rsid w:val="00137AB9"/>
    <w:rsid w:val="00151C27"/>
    <w:rsid w:val="001858EF"/>
    <w:rsid w:val="001B1A7C"/>
    <w:rsid w:val="001D4E19"/>
    <w:rsid w:val="001D4EAA"/>
    <w:rsid w:val="001F50DA"/>
    <w:rsid w:val="001F60BF"/>
    <w:rsid w:val="00267826"/>
    <w:rsid w:val="00287DCC"/>
    <w:rsid w:val="00293325"/>
    <w:rsid w:val="002B2352"/>
    <w:rsid w:val="002D1096"/>
    <w:rsid w:val="002E3F77"/>
    <w:rsid w:val="002F1ECF"/>
    <w:rsid w:val="002F3AFF"/>
    <w:rsid w:val="00307B99"/>
    <w:rsid w:val="00317CFA"/>
    <w:rsid w:val="0032473C"/>
    <w:rsid w:val="0033287F"/>
    <w:rsid w:val="00334B27"/>
    <w:rsid w:val="00380102"/>
    <w:rsid w:val="003811A2"/>
    <w:rsid w:val="00391D9E"/>
    <w:rsid w:val="00396E58"/>
    <w:rsid w:val="003B32AA"/>
    <w:rsid w:val="003C3A1C"/>
    <w:rsid w:val="00410B5B"/>
    <w:rsid w:val="00417495"/>
    <w:rsid w:val="00432FEE"/>
    <w:rsid w:val="00434B74"/>
    <w:rsid w:val="00442833"/>
    <w:rsid w:val="00481A32"/>
    <w:rsid w:val="004A5575"/>
    <w:rsid w:val="004A55AB"/>
    <w:rsid w:val="004A646B"/>
    <w:rsid w:val="004B5284"/>
    <w:rsid w:val="0052697D"/>
    <w:rsid w:val="00531705"/>
    <w:rsid w:val="00535D4D"/>
    <w:rsid w:val="00587AEE"/>
    <w:rsid w:val="005944DA"/>
    <w:rsid w:val="005A2643"/>
    <w:rsid w:val="005A6F70"/>
    <w:rsid w:val="005C16F7"/>
    <w:rsid w:val="005C573A"/>
    <w:rsid w:val="005E6712"/>
    <w:rsid w:val="005E67B9"/>
    <w:rsid w:val="005E725D"/>
    <w:rsid w:val="005F573D"/>
    <w:rsid w:val="00600974"/>
    <w:rsid w:val="0060266F"/>
    <w:rsid w:val="006047F7"/>
    <w:rsid w:val="00635DAD"/>
    <w:rsid w:val="006426BE"/>
    <w:rsid w:val="00652D1C"/>
    <w:rsid w:val="00654230"/>
    <w:rsid w:val="006712F2"/>
    <w:rsid w:val="0067547E"/>
    <w:rsid w:val="00694ADB"/>
    <w:rsid w:val="006B225F"/>
    <w:rsid w:val="006B6B79"/>
    <w:rsid w:val="006C606C"/>
    <w:rsid w:val="006C6B5B"/>
    <w:rsid w:val="006D1E4B"/>
    <w:rsid w:val="006E5F69"/>
    <w:rsid w:val="006E762D"/>
    <w:rsid w:val="00705EE6"/>
    <w:rsid w:val="00740BCB"/>
    <w:rsid w:val="00756AD7"/>
    <w:rsid w:val="00774414"/>
    <w:rsid w:val="007872DF"/>
    <w:rsid w:val="00795624"/>
    <w:rsid w:val="00796B81"/>
    <w:rsid w:val="007A3B2D"/>
    <w:rsid w:val="007B22FE"/>
    <w:rsid w:val="007D2521"/>
    <w:rsid w:val="00805661"/>
    <w:rsid w:val="00813F37"/>
    <w:rsid w:val="008140F0"/>
    <w:rsid w:val="00821ED2"/>
    <w:rsid w:val="00837E32"/>
    <w:rsid w:val="00870F2D"/>
    <w:rsid w:val="008908C1"/>
    <w:rsid w:val="00896039"/>
    <w:rsid w:val="008C4B62"/>
    <w:rsid w:val="008E36C8"/>
    <w:rsid w:val="008E5B84"/>
    <w:rsid w:val="00906406"/>
    <w:rsid w:val="00935B48"/>
    <w:rsid w:val="00937197"/>
    <w:rsid w:val="009444F9"/>
    <w:rsid w:val="00965AD5"/>
    <w:rsid w:val="00974B3B"/>
    <w:rsid w:val="009755C6"/>
    <w:rsid w:val="00976064"/>
    <w:rsid w:val="00992CB8"/>
    <w:rsid w:val="009A4D72"/>
    <w:rsid w:val="009B1EA6"/>
    <w:rsid w:val="009B3E9D"/>
    <w:rsid w:val="009B7A0A"/>
    <w:rsid w:val="009D02F3"/>
    <w:rsid w:val="009E3F1C"/>
    <w:rsid w:val="009E76E6"/>
    <w:rsid w:val="009F31EB"/>
    <w:rsid w:val="00A308B4"/>
    <w:rsid w:val="00A30FFC"/>
    <w:rsid w:val="00A43C86"/>
    <w:rsid w:val="00A4737A"/>
    <w:rsid w:val="00A64634"/>
    <w:rsid w:val="00A7179C"/>
    <w:rsid w:val="00A71A15"/>
    <w:rsid w:val="00A84C6E"/>
    <w:rsid w:val="00A85692"/>
    <w:rsid w:val="00A962F9"/>
    <w:rsid w:val="00AB7AAC"/>
    <w:rsid w:val="00AC04C9"/>
    <w:rsid w:val="00AD5BC9"/>
    <w:rsid w:val="00AF7092"/>
    <w:rsid w:val="00B0580A"/>
    <w:rsid w:val="00B350B7"/>
    <w:rsid w:val="00B510D3"/>
    <w:rsid w:val="00B52ADA"/>
    <w:rsid w:val="00B80825"/>
    <w:rsid w:val="00B81D26"/>
    <w:rsid w:val="00BA3379"/>
    <w:rsid w:val="00BA5B1E"/>
    <w:rsid w:val="00BB1168"/>
    <w:rsid w:val="00BB33F2"/>
    <w:rsid w:val="00C00746"/>
    <w:rsid w:val="00C129B9"/>
    <w:rsid w:val="00C22CDB"/>
    <w:rsid w:val="00C55433"/>
    <w:rsid w:val="00C6034A"/>
    <w:rsid w:val="00C61556"/>
    <w:rsid w:val="00C62B0E"/>
    <w:rsid w:val="00C82C8A"/>
    <w:rsid w:val="00CA1615"/>
    <w:rsid w:val="00CA7388"/>
    <w:rsid w:val="00CC511D"/>
    <w:rsid w:val="00CD531D"/>
    <w:rsid w:val="00CE25EB"/>
    <w:rsid w:val="00D13E86"/>
    <w:rsid w:val="00D26146"/>
    <w:rsid w:val="00D32303"/>
    <w:rsid w:val="00D33910"/>
    <w:rsid w:val="00D437D8"/>
    <w:rsid w:val="00D437F1"/>
    <w:rsid w:val="00D60E2B"/>
    <w:rsid w:val="00D74E50"/>
    <w:rsid w:val="00D752DE"/>
    <w:rsid w:val="00D83683"/>
    <w:rsid w:val="00D87DCC"/>
    <w:rsid w:val="00DD42C0"/>
    <w:rsid w:val="00DE36EB"/>
    <w:rsid w:val="00E351BF"/>
    <w:rsid w:val="00E65333"/>
    <w:rsid w:val="00E76C1A"/>
    <w:rsid w:val="00EA01D1"/>
    <w:rsid w:val="00EB1B22"/>
    <w:rsid w:val="00F236E9"/>
    <w:rsid w:val="00F2653E"/>
    <w:rsid w:val="00F27C87"/>
    <w:rsid w:val="00F43A9D"/>
    <w:rsid w:val="00F476E9"/>
    <w:rsid w:val="00F600BC"/>
    <w:rsid w:val="00F6618A"/>
    <w:rsid w:val="00F666EE"/>
    <w:rsid w:val="00F94A82"/>
    <w:rsid w:val="00F971CD"/>
    <w:rsid w:val="00FA0010"/>
    <w:rsid w:val="01C532E9"/>
    <w:rsid w:val="031C69F7"/>
    <w:rsid w:val="03CA6453"/>
    <w:rsid w:val="0446458A"/>
    <w:rsid w:val="04E70FED"/>
    <w:rsid w:val="04F574FF"/>
    <w:rsid w:val="06016502"/>
    <w:rsid w:val="065827E9"/>
    <w:rsid w:val="074402CA"/>
    <w:rsid w:val="07F65A68"/>
    <w:rsid w:val="088E5CA1"/>
    <w:rsid w:val="0A6F1B02"/>
    <w:rsid w:val="0ADB2CF4"/>
    <w:rsid w:val="0B29322D"/>
    <w:rsid w:val="0C395F24"/>
    <w:rsid w:val="0C4072B2"/>
    <w:rsid w:val="0C4548C9"/>
    <w:rsid w:val="0C601F5F"/>
    <w:rsid w:val="0D833AD8"/>
    <w:rsid w:val="0DD9010B"/>
    <w:rsid w:val="10216577"/>
    <w:rsid w:val="114C005B"/>
    <w:rsid w:val="13B642FE"/>
    <w:rsid w:val="13B871A9"/>
    <w:rsid w:val="14522278"/>
    <w:rsid w:val="14700951"/>
    <w:rsid w:val="14964769"/>
    <w:rsid w:val="14987CE5"/>
    <w:rsid w:val="14A01236"/>
    <w:rsid w:val="14D64C58"/>
    <w:rsid w:val="15224510"/>
    <w:rsid w:val="15AB3E0F"/>
    <w:rsid w:val="160550C9"/>
    <w:rsid w:val="16926550"/>
    <w:rsid w:val="16AB3EC2"/>
    <w:rsid w:val="18627605"/>
    <w:rsid w:val="188624F1"/>
    <w:rsid w:val="18F1774A"/>
    <w:rsid w:val="18FA2739"/>
    <w:rsid w:val="190B0C48"/>
    <w:rsid w:val="19670574"/>
    <w:rsid w:val="19B745FE"/>
    <w:rsid w:val="19D84FCE"/>
    <w:rsid w:val="19FA2267"/>
    <w:rsid w:val="19FD2C86"/>
    <w:rsid w:val="1A080D38"/>
    <w:rsid w:val="1AEF3CE7"/>
    <w:rsid w:val="1B570174"/>
    <w:rsid w:val="1B830F69"/>
    <w:rsid w:val="1DA06387"/>
    <w:rsid w:val="1EEA12FF"/>
    <w:rsid w:val="1F574BE7"/>
    <w:rsid w:val="1F9A2D26"/>
    <w:rsid w:val="1FAB4F33"/>
    <w:rsid w:val="1FDD7D48"/>
    <w:rsid w:val="20036B1D"/>
    <w:rsid w:val="2096173F"/>
    <w:rsid w:val="20C22534"/>
    <w:rsid w:val="20F22C71"/>
    <w:rsid w:val="211865F8"/>
    <w:rsid w:val="218E0668"/>
    <w:rsid w:val="21967F24"/>
    <w:rsid w:val="227E248B"/>
    <w:rsid w:val="230E24A8"/>
    <w:rsid w:val="23264FFC"/>
    <w:rsid w:val="23337719"/>
    <w:rsid w:val="23341C53"/>
    <w:rsid w:val="23953F30"/>
    <w:rsid w:val="23AD74CB"/>
    <w:rsid w:val="23CE0A96"/>
    <w:rsid w:val="24EE0F78"/>
    <w:rsid w:val="2584425C"/>
    <w:rsid w:val="2668592C"/>
    <w:rsid w:val="26924756"/>
    <w:rsid w:val="26996FA0"/>
    <w:rsid w:val="26A10E3D"/>
    <w:rsid w:val="28506677"/>
    <w:rsid w:val="28E60D8A"/>
    <w:rsid w:val="291476A5"/>
    <w:rsid w:val="29622B06"/>
    <w:rsid w:val="29AC5B2F"/>
    <w:rsid w:val="29FD638B"/>
    <w:rsid w:val="2B277B63"/>
    <w:rsid w:val="2B3D7387"/>
    <w:rsid w:val="2B4F0E68"/>
    <w:rsid w:val="2C210A56"/>
    <w:rsid w:val="2D306A77"/>
    <w:rsid w:val="2DC80650"/>
    <w:rsid w:val="2E06218A"/>
    <w:rsid w:val="2E8452CD"/>
    <w:rsid w:val="2ECB4ADC"/>
    <w:rsid w:val="2F176141"/>
    <w:rsid w:val="2F5B427F"/>
    <w:rsid w:val="2FD8767E"/>
    <w:rsid w:val="30092111"/>
    <w:rsid w:val="3043156F"/>
    <w:rsid w:val="320D55D9"/>
    <w:rsid w:val="32494863"/>
    <w:rsid w:val="32904240"/>
    <w:rsid w:val="33484E09"/>
    <w:rsid w:val="33D501B4"/>
    <w:rsid w:val="342A2472"/>
    <w:rsid w:val="352C3FC8"/>
    <w:rsid w:val="35521C81"/>
    <w:rsid w:val="35577297"/>
    <w:rsid w:val="35B9585C"/>
    <w:rsid w:val="37927DAB"/>
    <w:rsid w:val="37CD3840"/>
    <w:rsid w:val="39CE38A0"/>
    <w:rsid w:val="39E135D3"/>
    <w:rsid w:val="3A695C89"/>
    <w:rsid w:val="3BD117F8"/>
    <w:rsid w:val="3C6E24E1"/>
    <w:rsid w:val="3CE21B3C"/>
    <w:rsid w:val="3DBB238D"/>
    <w:rsid w:val="3F3E63FB"/>
    <w:rsid w:val="3FA70E1B"/>
    <w:rsid w:val="4081341A"/>
    <w:rsid w:val="41780CC1"/>
    <w:rsid w:val="41CA0DF1"/>
    <w:rsid w:val="421A0DA5"/>
    <w:rsid w:val="42815953"/>
    <w:rsid w:val="42C85330"/>
    <w:rsid w:val="43086074"/>
    <w:rsid w:val="4439400C"/>
    <w:rsid w:val="443B5FD6"/>
    <w:rsid w:val="45F11042"/>
    <w:rsid w:val="475A49C5"/>
    <w:rsid w:val="47E80223"/>
    <w:rsid w:val="47F83BAE"/>
    <w:rsid w:val="483B47F6"/>
    <w:rsid w:val="48DC5B44"/>
    <w:rsid w:val="48EB7FCA"/>
    <w:rsid w:val="49B06B1E"/>
    <w:rsid w:val="4E316102"/>
    <w:rsid w:val="4E9051F3"/>
    <w:rsid w:val="4F616EB4"/>
    <w:rsid w:val="4F8E7901"/>
    <w:rsid w:val="4FE33176"/>
    <w:rsid w:val="4FEF2A31"/>
    <w:rsid w:val="50F62791"/>
    <w:rsid w:val="511E6A63"/>
    <w:rsid w:val="53915C12"/>
    <w:rsid w:val="5492579E"/>
    <w:rsid w:val="558E2409"/>
    <w:rsid w:val="56496330"/>
    <w:rsid w:val="57281234"/>
    <w:rsid w:val="57CC09F3"/>
    <w:rsid w:val="584274DB"/>
    <w:rsid w:val="58754DB7"/>
    <w:rsid w:val="59513E7A"/>
    <w:rsid w:val="595E20F3"/>
    <w:rsid w:val="5B073454"/>
    <w:rsid w:val="5B7F56AB"/>
    <w:rsid w:val="5C0A0310"/>
    <w:rsid w:val="5CDB67CF"/>
    <w:rsid w:val="5D170F36"/>
    <w:rsid w:val="5DB9023F"/>
    <w:rsid w:val="5E5E2B95"/>
    <w:rsid w:val="5ED370DF"/>
    <w:rsid w:val="60966616"/>
    <w:rsid w:val="60CF38D6"/>
    <w:rsid w:val="618B1EF3"/>
    <w:rsid w:val="61A9603A"/>
    <w:rsid w:val="61ED6709"/>
    <w:rsid w:val="624D53FA"/>
    <w:rsid w:val="629934BE"/>
    <w:rsid w:val="63302D52"/>
    <w:rsid w:val="634405AB"/>
    <w:rsid w:val="636B1FDC"/>
    <w:rsid w:val="63F975E8"/>
    <w:rsid w:val="64A77044"/>
    <w:rsid w:val="64EE58BA"/>
    <w:rsid w:val="65200BA4"/>
    <w:rsid w:val="65556AA0"/>
    <w:rsid w:val="65B75E9B"/>
    <w:rsid w:val="65DA51F7"/>
    <w:rsid w:val="67561739"/>
    <w:rsid w:val="67A55102"/>
    <w:rsid w:val="686139AD"/>
    <w:rsid w:val="689722C6"/>
    <w:rsid w:val="68FB795E"/>
    <w:rsid w:val="68FF6C60"/>
    <w:rsid w:val="695D23C7"/>
    <w:rsid w:val="6A1231B1"/>
    <w:rsid w:val="6A3A2708"/>
    <w:rsid w:val="6A7554EE"/>
    <w:rsid w:val="6B160A7F"/>
    <w:rsid w:val="6B5336E9"/>
    <w:rsid w:val="6BE27BED"/>
    <w:rsid w:val="6C4D6722"/>
    <w:rsid w:val="6C5F0933"/>
    <w:rsid w:val="6CC73D6A"/>
    <w:rsid w:val="6DC42A14"/>
    <w:rsid w:val="6DFA0303"/>
    <w:rsid w:val="6FB16FC8"/>
    <w:rsid w:val="703B5184"/>
    <w:rsid w:val="71A1306D"/>
    <w:rsid w:val="73A016D5"/>
    <w:rsid w:val="73F25E01"/>
    <w:rsid w:val="74890514"/>
    <w:rsid w:val="75104791"/>
    <w:rsid w:val="76301738"/>
    <w:rsid w:val="76676633"/>
    <w:rsid w:val="76877040"/>
    <w:rsid w:val="76C50655"/>
    <w:rsid w:val="7722255A"/>
    <w:rsid w:val="774A725F"/>
    <w:rsid w:val="785C1A9B"/>
    <w:rsid w:val="78AF65B1"/>
    <w:rsid w:val="78FB7506"/>
    <w:rsid w:val="791A4C9B"/>
    <w:rsid w:val="79694086"/>
    <w:rsid w:val="7A83701B"/>
    <w:rsid w:val="7AE53FCA"/>
    <w:rsid w:val="7BBC11CF"/>
    <w:rsid w:val="7CD267D0"/>
    <w:rsid w:val="7D20753B"/>
    <w:rsid w:val="7D6733BC"/>
    <w:rsid w:val="7D77D351"/>
    <w:rsid w:val="7EB443DF"/>
    <w:rsid w:val="7EED16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autoRedefine/>
    <w:unhideWhenUsed/>
    <w:qFormat/>
    <w:uiPriority w:val="99"/>
    <w:pPr>
      <w:tabs>
        <w:tab w:val="center" w:pos="4153"/>
        <w:tab w:val="right" w:pos="8306"/>
      </w:tabs>
      <w:snapToGrid w:val="0"/>
      <w:jc w:val="left"/>
    </w:pPr>
    <w:rPr>
      <w:sz w:val="18"/>
      <w:szCs w:val="18"/>
    </w:rPr>
  </w:style>
  <w:style w:type="paragraph" w:styleId="3">
    <w:name w:val="Balloon Text"/>
    <w:basedOn w:val="1"/>
    <w:link w:val="15"/>
    <w:autoRedefine/>
    <w:semiHidden/>
    <w:unhideWhenUsed/>
    <w:qFormat/>
    <w:uiPriority w:val="99"/>
    <w:rPr>
      <w:sz w:val="18"/>
      <w:szCs w:val="18"/>
    </w:rPr>
  </w:style>
  <w:style w:type="paragraph" w:styleId="4">
    <w:name w:val="header"/>
    <w:basedOn w:val="1"/>
    <w:link w:val="7"/>
    <w:autoRedefine/>
    <w:unhideWhenUsed/>
    <w:qFormat/>
    <w:uiPriority w:val="99"/>
    <w:pPr>
      <w:tabs>
        <w:tab w:val="center" w:pos="4153"/>
        <w:tab w:val="right" w:pos="8306"/>
      </w:tabs>
      <w:snapToGrid w:val="0"/>
      <w:jc w:val="center"/>
    </w:pPr>
    <w:rPr>
      <w:sz w:val="18"/>
      <w:szCs w:val="18"/>
    </w:rPr>
  </w:style>
  <w:style w:type="character" w:customStyle="1" w:styleId="7">
    <w:name w:val="页眉 Char"/>
    <w:basedOn w:val="6"/>
    <w:link w:val="4"/>
    <w:autoRedefine/>
    <w:qFormat/>
    <w:uiPriority w:val="99"/>
    <w:rPr>
      <w:sz w:val="18"/>
      <w:szCs w:val="18"/>
    </w:rPr>
  </w:style>
  <w:style w:type="character" w:customStyle="1" w:styleId="8">
    <w:name w:val="页脚 Char"/>
    <w:basedOn w:val="6"/>
    <w:link w:val="2"/>
    <w:autoRedefine/>
    <w:qFormat/>
    <w:uiPriority w:val="99"/>
    <w:rPr>
      <w:sz w:val="18"/>
      <w:szCs w:val="18"/>
    </w:rPr>
  </w:style>
  <w:style w:type="paragraph" w:styleId="9">
    <w:name w:val="List Paragraph"/>
    <w:basedOn w:val="1"/>
    <w:autoRedefine/>
    <w:qFormat/>
    <w:uiPriority w:val="34"/>
    <w:pPr>
      <w:ind w:firstLine="420" w:firstLineChars="200"/>
    </w:pPr>
  </w:style>
  <w:style w:type="paragraph" w:customStyle="1" w:styleId="10">
    <w:name w:val="05正文"/>
    <w:link w:val="13"/>
    <w:autoRedefine/>
    <w:qFormat/>
    <w:uiPriority w:val="0"/>
    <w:pPr>
      <w:widowControl w:val="0"/>
      <w:wordWrap w:val="0"/>
      <w:topLinePunct/>
      <w:spacing w:line="600" w:lineRule="exact"/>
      <w:ind w:firstLine="880" w:firstLineChars="200"/>
      <w:jc w:val="both"/>
    </w:pPr>
    <w:rPr>
      <w:rFonts w:hint="eastAsia" w:ascii="Times New Roman" w:hAnsi="Times New Roman" w:eastAsia="仿宋_GB2312" w:cs="Times New Roman"/>
      <w:sz w:val="32"/>
      <w:szCs w:val="32"/>
      <w:lang w:val="en-US" w:eastAsia="zh-CN" w:bidi="ar-SA"/>
    </w:rPr>
  </w:style>
  <w:style w:type="paragraph" w:customStyle="1" w:styleId="11">
    <w:name w:val="04二级"/>
    <w:next w:val="10"/>
    <w:autoRedefine/>
    <w:qFormat/>
    <w:uiPriority w:val="0"/>
    <w:pPr>
      <w:widowControl w:val="0"/>
      <w:numPr>
        <w:ilvl w:val="1"/>
        <w:numId w:val="1"/>
      </w:numPr>
      <w:tabs>
        <w:tab w:val="left" w:pos="0"/>
      </w:tabs>
      <w:wordWrap w:val="0"/>
      <w:topLinePunct/>
      <w:spacing w:line="600" w:lineRule="exact"/>
      <w:jc w:val="both"/>
      <w:outlineLvl w:val="2"/>
    </w:pPr>
    <w:rPr>
      <w:rFonts w:hint="eastAsia" w:ascii="Times New Roman" w:hAnsi="Times New Roman" w:eastAsia="楷体_GB2312" w:cs="Times New Roman"/>
      <w:sz w:val="32"/>
      <w:szCs w:val="32"/>
      <w:lang w:val="en-US" w:eastAsia="zh-CN" w:bidi="ar-SA"/>
    </w:rPr>
  </w:style>
  <w:style w:type="paragraph" w:customStyle="1" w:styleId="12">
    <w:name w:val="06三级"/>
    <w:next w:val="10"/>
    <w:autoRedefine/>
    <w:qFormat/>
    <w:uiPriority w:val="0"/>
    <w:pPr>
      <w:widowControl w:val="0"/>
      <w:numPr>
        <w:ilvl w:val="2"/>
        <w:numId w:val="1"/>
      </w:numPr>
      <w:wordWrap w:val="0"/>
      <w:topLinePunct/>
      <w:spacing w:line="600" w:lineRule="exact"/>
      <w:jc w:val="both"/>
      <w:outlineLvl w:val="3"/>
    </w:pPr>
    <w:rPr>
      <w:rFonts w:hint="eastAsia" w:ascii="Times New Roman" w:hAnsi="Times New Roman" w:eastAsia="仿宋_GB2312" w:cs="Times New Roman"/>
      <w:sz w:val="32"/>
      <w:szCs w:val="32"/>
      <w:lang w:val="en-US" w:eastAsia="zh-CN" w:bidi="ar-SA"/>
    </w:rPr>
  </w:style>
  <w:style w:type="character" w:customStyle="1" w:styleId="13">
    <w:name w:val="05正文 Char"/>
    <w:link w:val="10"/>
    <w:autoRedefine/>
    <w:qFormat/>
    <w:uiPriority w:val="0"/>
    <w:rPr>
      <w:rFonts w:hint="eastAsia" w:ascii="Times New Roman" w:hAnsi="Times New Roman" w:eastAsia="仿宋_GB2312" w:cs="Times New Roman"/>
      <w:sz w:val="32"/>
      <w:szCs w:val="32"/>
      <w:lang w:val="en-US" w:eastAsia="zh-CN" w:bidi="ar-SA"/>
    </w:rPr>
  </w:style>
  <w:style w:type="paragraph" w:customStyle="1" w:styleId="14">
    <w:name w:val="03一级"/>
    <w:next w:val="10"/>
    <w:autoRedefine/>
    <w:qFormat/>
    <w:uiPriority w:val="0"/>
    <w:pPr>
      <w:numPr>
        <w:ilvl w:val="0"/>
        <w:numId w:val="1"/>
      </w:numPr>
      <w:wordWrap w:val="0"/>
      <w:topLinePunct/>
      <w:spacing w:line="600" w:lineRule="exact"/>
      <w:jc w:val="both"/>
      <w:outlineLvl w:val="1"/>
    </w:pPr>
    <w:rPr>
      <w:rFonts w:ascii="Times New Roman" w:hAnsi="Times New Roman" w:eastAsia="黑体" w:cs="Times New Roman"/>
      <w:sz w:val="32"/>
      <w:szCs w:val="32"/>
      <w:lang w:val="en-US" w:eastAsia="zh-CN" w:bidi="ar-SA"/>
    </w:rPr>
  </w:style>
  <w:style w:type="character" w:customStyle="1" w:styleId="15">
    <w:name w:val="批注框文本 Char"/>
    <w:basedOn w:val="6"/>
    <w:link w:val="3"/>
    <w:autoRedefine/>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Pages>
  <Words>637</Words>
  <Characters>3634</Characters>
  <Lines>30</Lines>
  <Paragraphs>8</Paragraphs>
  <TotalTime>22</TotalTime>
  <ScaleCrop>false</ScaleCrop>
  <LinksUpToDate>false</LinksUpToDate>
  <CharactersWithSpaces>4263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2024-01-26T20:01:00Z</dcterms:created>
  <dc:creator>asdasd</dc:creator>
  <cp:lastModifiedBy>广来</cp:lastModifiedBy>
  <cp:lastPrinted>2024-03-18T05:34:00Z</cp:lastPrinted>
  <dcterms:modified xsi:type="dcterms:W3CDTF">2024-04-03T02:58:16Z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9B785801F76E4C599792432EAE19DD11_12</vt:lpwstr>
  </property>
</Properties>
</file>